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FF14" w14:textId="77777777" w:rsidR="00753F65" w:rsidRDefault="00753F65">
      <w:pPr>
        <w:pStyle w:val="BodyText"/>
        <w:spacing w:before="126"/>
        <w:rPr>
          <w:rFonts w:ascii="Times New Roman"/>
        </w:rPr>
      </w:pPr>
    </w:p>
    <w:tbl>
      <w:tblPr>
        <w:tblW w:w="1004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976"/>
      </w:tblGrid>
      <w:tr w:rsidR="00753F65" w14:paraId="036E713E" w14:textId="77777777" w:rsidTr="00EF7958">
        <w:trPr>
          <w:trHeight w:val="328"/>
        </w:trPr>
        <w:tc>
          <w:tcPr>
            <w:tcW w:w="10042" w:type="dxa"/>
            <w:gridSpan w:val="2"/>
            <w:shd w:val="clear" w:color="auto" w:fill="000099"/>
          </w:tcPr>
          <w:p w14:paraId="3EF9779C" w14:textId="77777777" w:rsidR="00753F65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753F65" w14:paraId="761F0399" w14:textId="77777777" w:rsidTr="00EF7958">
        <w:trPr>
          <w:trHeight w:val="602"/>
        </w:trPr>
        <w:tc>
          <w:tcPr>
            <w:tcW w:w="2066" w:type="dxa"/>
          </w:tcPr>
          <w:p w14:paraId="3EFB1BA2" w14:textId="77777777" w:rsidR="00753F65" w:rsidRDefault="00000000">
            <w:pPr>
              <w:pStyle w:val="TableParagraph"/>
              <w:spacing w:before="72"/>
              <w:ind w:left="9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976" w:type="dxa"/>
          </w:tcPr>
          <w:p w14:paraId="425FF3F6" w14:textId="77777777" w:rsidR="00753F65" w:rsidRDefault="00000000">
            <w:pPr>
              <w:pStyle w:val="TableParagraph"/>
              <w:spacing w:before="72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426</w:t>
            </w:r>
          </w:p>
        </w:tc>
      </w:tr>
      <w:tr w:rsidR="00753F65" w14:paraId="4A8CE8FA" w14:textId="77777777" w:rsidTr="00EF7958">
        <w:trPr>
          <w:trHeight w:val="777"/>
        </w:trPr>
        <w:tc>
          <w:tcPr>
            <w:tcW w:w="2066" w:type="dxa"/>
          </w:tcPr>
          <w:p w14:paraId="1ED9FF9E" w14:textId="77777777" w:rsidR="00753F65" w:rsidRDefault="00000000">
            <w:pPr>
              <w:pStyle w:val="TableParagraph"/>
              <w:spacing w:before="161"/>
              <w:ind w:left="9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976" w:type="dxa"/>
          </w:tcPr>
          <w:p w14:paraId="2C300DC4" w14:textId="77777777" w:rsidR="00753F65" w:rsidRDefault="00000000">
            <w:pPr>
              <w:pStyle w:val="TableParagraph"/>
              <w:spacing w:before="79" w:line="261" w:lineRule="auto"/>
              <w:ind w:left="105" w:right="98"/>
            </w:pPr>
            <w:r>
              <w:rPr>
                <w:rFonts w:ascii="Arial Black"/>
                <w:color w:val="003399"/>
                <w:w w:val="105"/>
              </w:rPr>
              <w:t>ALTERAGRI</w:t>
            </w:r>
            <w:r>
              <w:rPr>
                <w:rFonts w:ascii="Arial Black"/>
                <w:color w:val="003399"/>
                <w:spacing w:val="-20"/>
                <w:w w:val="105"/>
              </w:rPr>
              <w:t xml:space="preserve"> </w:t>
            </w:r>
            <w:r>
              <w:rPr>
                <w:color w:val="003399"/>
                <w:w w:val="105"/>
              </w:rPr>
              <w:t>-</w:t>
            </w:r>
            <w:r>
              <w:rPr>
                <w:color w:val="003399"/>
                <w:spacing w:val="-11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Support</w:t>
            </w:r>
            <w:r w:rsidRPr="00F76607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to</w:t>
            </w:r>
            <w:r w:rsidRPr="00F76607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the</w:t>
            </w:r>
            <w:r w:rsidRPr="00F76607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local</w:t>
            </w:r>
            <w:r w:rsidRPr="00F76607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economy</w:t>
            </w:r>
            <w:r w:rsidRPr="00F76607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by</w:t>
            </w:r>
            <w:r w:rsidRPr="00F76607">
              <w:rPr>
                <w:rFonts w:ascii="Arial" w:hAnsi="Arial" w:cs="Arial"/>
                <w:color w:val="003399"/>
                <w:spacing w:val="-14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encouraging</w:t>
            </w:r>
            <w:r w:rsidRPr="00F76607">
              <w:rPr>
                <w:rFonts w:ascii="Arial" w:hAnsi="Arial" w:cs="Arial"/>
                <w:color w:val="003399"/>
                <w:spacing w:val="-12"/>
                <w:w w:val="105"/>
              </w:rPr>
              <w:t xml:space="preserve">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alternative use of agricultural products</w:t>
            </w:r>
          </w:p>
        </w:tc>
      </w:tr>
      <w:tr w:rsidR="00753F65" w14:paraId="5FA28B07" w14:textId="77777777" w:rsidTr="00EF7958">
        <w:trPr>
          <w:trHeight w:val="726"/>
        </w:trPr>
        <w:tc>
          <w:tcPr>
            <w:tcW w:w="2066" w:type="dxa"/>
          </w:tcPr>
          <w:p w14:paraId="1AD29152" w14:textId="77777777" w:rsidR="00753F65" w:rsidRDefault="00000000">
            <w:pPr>
              <w:pStyle w:val="TableParagraph"/>
              <w:spacing w:before="122"/>
              <w:ind w:left="9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976" w:type="dxa"/>
          </w:tcPr>
          <w:p w14:paraId="1B1DA9BE" w14:textId="77777777" w:rsidR="00753F65" w:rsidRPr="00F76607" w:rsidRDefault="00000000">
            <w:pPr>
              <w:pStyle w:val="TableParagraph"/>
              <w:spacing w:before="29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3 - Improve employment and promote cross-border labour mobility</w:t>
            </w:r>
          </w:p>
          <w:p w14:paraId="5C05A547" w14:textId="77777777" w:rsidR="00753F65" w:rsidRPr="00F76607" w:rsidRDefault="00000000">
            <w:pPr>
              <w:pStyle w:val="TableParagraph"/>
              <w:spacing w:before="95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(Cooperating on employment)</w:t>
            </w:r>
          </w:p>
        </w:tc>
      </w:tr>
      <w:tr w:rsidR="00753F65" w14:paraId="33D2A7CE" w14:textId="77777777" w:rsidTr="00EF7958">
        <w:trPr>
          <w:trHeight w:val="1807"/>
        </w:trPr>
        <w:tc>
          <w:tcPr>
            <w:tcW w:w="2066" w:type="dxa"/>
          </w:tcPr>
          <w:p w14:paraId="79BC7D81" w14:textId="77777777" w:rsidR="00753F65" w:rsidRDefault="00753F65">
            <w:pPr>
              <w:pStyle w:val="TableParagraph"/>
              <w:spacing w:before="236"/>
              <w:rPr>
                <w:rFonts w:ascii="Times New Roman"/>
              </w:rPr>
            </w:pPr>
          </w:p>
          <w:p w14:paraId="4F27C8A1" w14:textId="77777777" w:rsidR="00753F65" w:rsidRDefault="00000000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976" w:type="dxa"/>
          </w:tcPr>
          <w:p w14:paraId="4448B19D" w14:textId="77777777" w:rsidR="00753F65" w:rsidRPr="00F76607" w:rsidRDefault="00000000">
            <w:pPr>
              <w:pStyle w:val="TableParagraph"/>
              <w:spacing w:before="29" w:line="331" w:lineRule="auto"/>
              <w:ind w:left="105" w:right="96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8/b - 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753F65" w14:paraId="46653DAF" w14:textId="77777777" w:rsidTr="00EF7958">
        <w:trPr>
          <w:trHeight w:val="633"/>
        </w:trPr>
        <w:tc>
          <w:tcPr>
            <w:tcW w:w="2066" w:type="dxa"/>
          </w:tcPr>
          <w:p w14:paraId="337C6686" w14:textId="77777777" w:rsidR="00753F65" w:rsidRDefault="00000000">
            <w:pPr>
              <w:pStyle w:val="TableParagraph"/>
              <w:spacing w:line="301" w:lineRule="exact"/>
              <w:ind w:left="9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Implementation</w:t>
            </w:r>
          </w:p>
          <w:p w14:paraId="4675F09B" w14:textId="77777777" w:rsidR="00753F65" w:rsidRDefault="00000000">
            <w:pPr>
              <w:pStyle w:val="TableParagraph"/>
              <w:spacing w:before="35" w:line="277" w:lineRule="exact"/>
              <w:ind w:left="9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976" w:type="dxa"/>
          </w:tcPr>
          <w:p w14:paraId="359C408D" w14:textId="77777777" w:rsidR="00753F65" w:rsidRPr="00F76607" w:rsidRDefault="00000000">
            <w:pPr>
              <w:pStyle w:val="TableParagraph"/>
              <w:spacing w:before="137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32 Months (May 01, 2021 – December 31, 2023)</w:t>
            </w:r>
          </w:p>
        </w:tc>
      </w:tr>
      <w:tr w:rsidR="00753F65" w14:paraId="2DEADA03" w14:textId="77777777" w:rsidTr="00EF7958">
        <w:trPr>
          <w:trHeight w:val="719"/>
        </w:trPr>
        <w:tc>
          <w:tcPr>
            <w:tcW w:w="2066" w:type="dxa"/>
          </w:tcPr>
          <w:p w14:paraId="34FC41F5" w14:textId="77777777" w:rsidR="00753F65" w:rsidRDefault="00000000">
            <w:pPr>
              <w:pStyle w:val="TableParagraph"/>
              <w:spacing w:before="117"/>
              <w:ind w:left="9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976" w:type="dxa"/>
          </w:tcPr>
          <w:p w14:paraId="4C7B369C" w14:textId="54F5C068" w:rsidR="00753F65" w:rsidRPr="00F76607" w:rsidRDefault="002D0A63" w:rsidP="002D0A63">
            <w:pPr>
              <w:pStyle w:val="TableParagraph"/>
              <w:spacing w:before="29" w:line="288" w:lineRule="auto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E46FF0">
              <w:rPr>
                <w:rFonts w:ascii="Arial" w:hAnsi="Arial" w:cs="Arial"/>
                <w:color w:val="003399"/>
                <w:w w:val="105"/>
              </w:rPr>
              <w:t>The</w:t>
            </w:r>
            <w:r w:rsidR="00E46FF0" w:rsidRPr="00E46FF0">
              <w:rPr>
                <w:rFonts w:ascii="Arial" w:hAnsi="Arial" w:cs="Arial"/>
                <w:color w:val="003399"/>
                <w:w w:val="105"/>
              </w:rPr>
              <w:t xml:space="preserve"> project aimed to improve employment levels and promote cross-border labour mobility by revitalising and supporting the economic viability of agriculture-related professions and technologies rooted in the traditional socio-economic profile of the </w:t>
            </w:r>
            <w:r>
              <w:rPr>
                <w:rFonts w:ascii="Arial" w:hAnsi="Arial" w:cs="Arial"/>
                <w:color w:val="003399"/>
                <w:w w:val="105"/>
              </w:rPr>
              <w:t>P</w:t>
            </w:r>
            <w:r w:rsidR="00E46FF0" w:rsidRPr="00E46FF0">
              <w:rPr>
                <w:rFonts w:ascii="Arial" w:hAnsi="Arial" w:cs="Arial"/>
                <w:color w:val="003399"/>
                <w:w w:val="105"/>
              </w:rPr>
              <w:t>rogramme area, such as hemp (on the Hungarian side) and technical plants and wool (on the Romanian side).</w:t>
            </w:r>
          </w:p>
        </w:tc>
      </w:tr>
      <w:tr w:rsidR="00753F65" w14:paraId="30BDDFB1" w14:textId="77777777" w:rsidTr="00EF7958">
        <w:trPr>
          <w:trHeight w:val="457"/>
        </w:trPr>
        <w:tc>
          <w:tcPr>
            <w:tcW w:w="2066" w:type="dxa"/>
            <w:vMerge w:val="restart"/>
          </w:tcPr>
          <w:p w14:paraId="25BA68AD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7B4E888A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0ED91238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389C9A07" w14:textId="77777777" w:rsidR="00753F65" w:rsidRDefault="00753F65">
            <w:pPr>
              <w:pStyle w:val="TableParagraph"/>
              <w:spacing w:before="80"/>
              <w:rPr>
                <w:rFonts w:ascii="Times New Roman"/>
              </w:rPr>
            </w:pPr>
          </w:p>
          <w:p w14:paraId="6ACDD469" w14:textId="77777777" w:rsidR="00753F65" w:rsidRDefault="00000000">
            <w:pPr>
              <w:pStyle w:val="TableParagraph"/>
              <w:ind w:left="381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976" w:type="dxa"/>
          </w:tcPr>
          <w:p w14:paraId="755AA020" w14:textId="77777777" w:rsidR="00753F65" w:rsidRDefault="00000000">
            <w:pPr>
              <w:pStyle w:val="TableParagraph"/>
              <w:spacing w:before="9"/>
              <w:ind w:left="105"/>
            </w:pPr>
            <w:r>
              <w:rPr>
                <w:rFonts w:ascii="Arial Black"/>
                <w:color w:val="003399"/>
              </w:rPr>
              <w:t>Lead</w:t>
            </w:r>
            <w:r>
              <w:rPr>
                <w:rFonts w:ascii="Arial Black"/>
                <w:color w:val="003399"/>
                <w:spacing w:val="-19"/>
              </w:rPr>
              <w:t xml:space="preserve"> </w:t>
            </w:r>
            <w:r>
              <w:rPr>
                <w:rFonts w:ascii="Arial Black"/>
                <w:color w:val="003399"/>
              </w:rPr>
              <w:t>Beneficiary</w:t>
            </w:r>
            <w:r>
              <w:rPr>
                <w:color w:val="003399"/>
              </w:rPr>
              <w:t xml:space="preserve">: </w:t>
            </w:r>
            <w:r w:rsidRPr="00F76607">
              <w:rPr>
                <w:rFonts w:ascii="Arial" w:hAnsi="Arial" w:cs="Arial"/>
                <w:color w:val="003399"/>
                <w:w w:val="105"/>
              </w:rPr>
              <w:t>Directorate for Agriculture of Bihor County (Romania)</w:t>
            </w:r>
          </w:p>
        </w:tc>
      </w:tr>
      <w:tr w:rsidR="00753F65" w14:paraId="1863F9E9" w14:textId="77777777" w:rsidTr="00EF7958">
        <w:trPr>
          <w:trHeight w:val="2169"/>
        </w:trPr>
        <w:tc>
          <w:tcPr>
            <w:tcW w:w="2066" w:type="dxa"/>
            <w:vMerge/>
            <w:tcBorders>
              <w:top w:val="nil"/>
            </w:tcBorders>
          </w:tcPr>
          <w:p w14:paraId="7F3B4AB6" w14:textId="77777777" w:rsidR="00753F65" w:rsidRDefault="00753F65">
            <w:pPr>
              <w:rPr>
                <w:sz w:val="2"/>
                <w:szCs w:val="2"/>
              </w:rPr>
            </w:pPr>
          </w:p>
        </w:tc>
        <w:tc>
          <w:tcPr>
            <w:tcW w:w="7976" w:type="dxa"/>
          </w:tcPr>
          <w:p w14:paraId="20AE17EA" w14:textId="77777777" w:rsidR="00753F65" w:rsidRPr="00F76607" w:rsidRDefault="00000000">
            <w:pPr>
              <w:pStyle w:val="TableParagraph"/>
              <w:spacing w:line="301" w:lineRule="exact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Project Partners:</w:t>
            </w:r>
          </w:p>
          <w:p w14:paraId="51D81FC8" w14:textId="77777777" w:rsidR="00753F65" w:rsidRPr="00F76607" w:rsidRDefault="00000000">
            <w:pPr>
              <w:pStyle w:val="TableParagraph"/>
              <w:tabs>
                <w:tab w:val="left" w:pos="2126"/>
                <w:tab w:val="left" w:pos="3553"/>
                <w:tab w:val="left" w:pos="4671"/>
                <w:tab w:val="left" w:pos="6094"/>
                <w:tab w:val="left" w:pos="7391"/>
              </w:tabs>
              <w:spacing w:before="149" w:line="288" w:lineRule="auto"/>
              <w:ind w:left="105" w:right="93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-PP2-Transilvania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Technology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Transfer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Association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(Romania)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- withdrawn</w:t>
            </w:r>
          </w:p>
          <w:p w14:paraId="6B482933" w14:textId="77777777" w:rsidR="00753F65" w:rsidRPr="00F76607" w:rsidRDefault="00000000">
            <w:pPr>
              <w:pStyle w:val="TableParagraph"/>
              <w:tabs>
                <w:tab w:val="left" w:pos="1485"/>
                <w:tab w:val="left" w:pos="2382"/>
                <w:tab w:val="left" w:pos="2881"/>
                <w:tab w:val="left" w:pos="4345"/>
                <w:tab w:val="left" w:pos="5026"/>
                <w:tab w:val="left" w:pos="6708"/>
              </w:tabs>
              <w:spacing w:before="123" w:line="288" w:lineRule="auto"/>
              <w:ind w:left="826" w:right="96" w:hanging="721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-PP3-Bihor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Office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of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Pedological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and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Agrochemical</w:t>
            </w:r>
            <w:r w:rsidRPr="00F76607">
              <w:rPr>
                <w:rFonts w:ascii="Arial" w:hAnsi="Arial" w:cs="Arial"/>
                <w:color w:val="003399"/>
                <w:w w:val="105"/>
              </w:rPr>
              <w:tab/>
              <w:t>Studies (Romania)</w:t>
            </w:r>
          </w:p>
          <w:p w14:paraId="4A6178CC" w14:textId="77777777" w:rsidR="00753F65" w:rsidRPr="00F76607" w:rsidRDefault="00000000">
            <w:pPr>
              <w:pStyle w:val="TableParagraph"/>
              <w:spacing w:before="120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-PP4-Science for Environment Public Foundation (Hungary)</w:t>
            </w:r>
          </w:p>
        </w:tc>
      </w:tr>
      <w:tr w:rsidR="00753F65" w14:paraId="5E8E2C2D" w14:textId="77777777" w:rsidTr="00EF7958">
        <w:trPr>
          <w:trHeight w:val="385"/>
        </w:trPr>
        <w:tc>
          <w:tcPr>
            <w:tcW w:w="2066" w:type="dxa"/>
          </w:tcPr>
          <w:p w14:paraId="4E772447" w14:textId="77777777" w:rsidR="00753F65" w:rsidRDefault="00000000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976" w:type="dxa"/>
          </w:tcPr>
          <w:p w14:paraId="4BB7A051" w14:textId="77777777" w:rsidR="00753F65" w:rsidRPr="00F76607" w:rsidRDefault="00000000">
            <w:pPr>
              <w:pStyle w:val="TableParagraph"/>
              <w:spacing w:before="32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€ 1,679,320.00 out of which ERDF € 1,427,422.00</w:t>
            </w:r>
          </w:p>
        </w:tc>
      </w:tr>
      <w:tr w:rsidR="00E46FF0" w14:paraId="58DFC476" w14:textId="77777777" w:rsidTr="00EF7958">
        <w:trPr>
          <w:trHeight w:val="385"/>
        </w:trPr>
        <w:tc>
          <w:tcPr>
            <w:tcW w:w="2066" w:type="dxa"/>
          </w:tcPr>
          <w:p w14:paraId="1C17B13A" w14:textId="77777777" w:rsidR="002D0A63" w:rsidRDefault="002D0A63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3C6A5DFC" w14:textId="77777777" w:rsidR="002D0A63" w:rsidRDefault="002D0A63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spacing w:val="-2"/>
              </w:rPr>
            </w:pPr>
          </w:p>
          <w:p w14:paraId="091C03B0" w14:textId="53F6C181" w:rsidR="00E46FF0" w:rsidRDefault="00E46FF0">
            <w:pPr>
              <w:pStyle w:val="TableParagraph"/>
              <w:spacing w:line="303" w:lineRule="exact"/>
              <w:ind w:left="9" w:right="2"/>
              <w:jc w:val="center"/>
              <w:rPr>
                <w:rFonts w:ascii="Arial Black"/>
                <w:color w:val="003399"/>
                <w:w w:val="85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976" w:type="dxa"/>
          </w:tcPr>
          <w:p w14:paraId="4E5B60E8" w14:textId="77777777" w:rsidR="00E46FF0" w:rsidRPr="00F76607" w:rsidRDefault="00E46FF0" w:rsidP="00E46FF0">
            <w:pPr>
              <w:pStyle w:val="TableParagraph"/>
              <w:spacing w:before="29" w:line="290" w:lineRule="auto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>The project’s goal</w:t>
            </w:r>
            <w:r>
              <w:rPr>
                <w:rFonts w:ascii="Arial" w:hAnsi="Arial" w:cs="Arial"/>
                <w:color w:val="003399"/>
                <w:w w:val="105"/>
              </w:rPr>
              <w:t xml:space="preserve"> was</w:t>
            </w:r>
            <w:r w:rsidRPr="00F76607">
              <w:rPr>
                <w:rFonts w:ascii="Arial" w:hAnsi="Arial" w:cs="Arial"/>
                <w:color w:val="003399"/>
                <w:w w:val="105"/>
              </w:rPr>
              <w:t xml:space="preserve"> to improve employment and promote labour mobility across borders.</w:t>
            </w:r>
          </w:p>
          <w:p w14:paraId="292274EB" w14:textId="77777777" w:rsidR="00E46FF0" w:rsidRPr="00F76607" w:rsidRDefault="00E46FF0" w:rsidP="00E46FF0">
            <w:pPr>
              <w:pStyle w:val="TableParagraph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F76607">
              <w:rPr>
                <w:rFonts w:ascii="Arial" w:hAnsi="Arial" w:cs="Arial"/>
                <w:color w:val="003399"/>
                <w:w w:val="105"/>
              </w:rPr>
              <w:t xml:space="preserve">The main activities </w:t>
            </w:r>
            <w:r>
              <w:rPr>
                <w:rFonts w:ascii="Arial" w:hAnsi="Arial" w:cs="Arial"/>
                <w:color w:val="003399"/>
                <w:w w:val="105"/>
              </w:rPr>
              <w:t>were</w:t>
            </w:r>
            <w:r w:rsidRPr="00F76607">
              <w:rPr>
                <w:rFonts w:ascii="Arial" w:hAnsi="Arial" w:cs="Arial"/>
                <w:color w:val="003399"/>
                <w:w w:val="105"/>
              </w:rPr>
              <w:t>:</w:t>
            </w:r>
          </w:p>
          <w:p w14:paraId="29EC1B70" w14:textId="35010A93" w:rsidR="00E46FF0" w:rsidRPr="00F76607" w:rsidRDefault="00AD6131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3" w:line="288" w:lineRule="auto"/>
              <w:ind w:right="98"/>
              <w:jc w:val="both"/>
              <w:rPr>
                <w:rFonts w:ascii="Arial" w:hAnsi="Arial" w:cs="Arial"/>
                <w:color w:val="003399"/>
                <w:w w:val="105"/>
              </w:rPr>
            </w:pPr>
            <w:r>
              <w:rPr>
                <w:rFonts w:ascii="Arial" w:hAnsi="Arial" w:cs="Arial"/>
                <w:color w:val="003399"/>
                <w:w w:val="105"/>
              </w:rPr>
              <w:t>Building</w:t>
            </w:r>
            <w:r w:rsidR="00370D45" w:rsidRPr="00370D45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and endowment of the Environmental and Alternative Agriculture Information Center in Debrecen –PP4</w:t>
            </w:r>
          </w:p>
          <w:p w14:paraId="61E556C6" w14:textId="3C54584F" w:rsidR="00E46FF0" w:rsidRPr="00F76607" w:rsidRDefault="00AD6131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>
              <w:rPr>
                <w:rFonts w:ascii="Arial" w:hAnsi="Arial" w:cs="Arial"/>
                <w:color w:val="003399"/>
                <w:w w:val="105"/>
              </w:rPr>
              <w:t>Building</w:t>
            </w:r>
            <w:r w:rsidR="00032151" w:rsidRPr="00370D45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032151" w:rsidRPr="00F76607">
              <w:rPr>
                <w:rFonts w:ascii="Arial" w:hAnsi="Arial" w:cs="Arial"/>
                <w:color w:val="003399"/>
                <w:w w:val="105"/>
              </w:rPr>
              <w:t>and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 xml:space="preserve"> equipping of the Agricultural Training Center Bihor -PP3</w:t>
            </w:r>
          </w:p>
          <w:p w14:paraId="12578890" w14:textId="77777777" w:rsidR="00370D45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" w:line="290" w:lineRule="auto"/>
              <w:ind w:right="95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Organisation of 2 training courses for workers in plant cultivation and animal breeding – LB.</w:t>
            </w:r>
          </w:p>
          <w:p w14:paraId="753DEB0C" w14:textId="77777777" w:rsidR="00370D45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 xml:space="preserve">Preparation of 1 Study and Action Plan to explore further opportunities for valorizing agricultural products in other sectors of the economy, thereby creating new possibilities for local economic development – </w:t>
            </w:r>
            <w:r w:rsidRPr="00370D45">
              <w:rPr>
                <w:rFonts w:ascii="Arial" w:hAnsi="Arial" w:cs="Arial"/>
                <w:color w:val="003399"/>
                <w:w w:val="105"/>
              </w:rPr>
              <w:lastRenderedPageBreak/>
              <w:t>LB.</w:t>
            </w:r>
          </w:p>
          <w:p w14:paraId="2FEA1E17" w14:textId="77777777" w:rsidR="00370D45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Development of 1 informational system for citizen relationship management – LB.</w:t>
            </w:r>
          </w:p>
          <w:p w14:paraId="2AB822E6" w14:textId="77777777" w:rsidR="00370D45" w:rsidRPr="00370D45" w:rsidRDefault="00370D45" w:rsidP="00370D4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Organisation of 5 professional events:</w:t>
            </w:r>
          </w:p>
          <w:p w14:paraId="751FA2A0" w14:textId="77777777" w:rsidR="00370D45" w:rsidRPr="00370D45" w:rsidRDefault="00370D45" w:rsidP="00370D4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2 conferences: one for the construction industry and another for agricultural producers – LB.</w:t>
            </w:r>
          </w:p>
          <w:p w14:paraId="59AEC27E" w14:textId="77777777" w:rsidR="00370D45" w:rsidRPr="00370D45" w:rsidRDefault="00370D45" w:rsidP="00370D4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2 job fairs for stakeholders – LB.</w:t>
            </w:r>
          </w:p>
          <w:p w14:paraId="20684B0B" w14:textId="77777777" w:rsidR="00370D45" w:rsidRPr="00370D45" w:rsidRDefault="00370D45" w:rsidP="00370D4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1 conference bringing together representatives from both sides of the economic chain: agricultural producers and construction specialists – LB.</w:t>
            </w:r>
          </w:p>
          <w:p w14:paraId="1C7CEA5D" w14:textId="55267D35" w:rsidR="00E46FF0" w:rsidRPr="00F76607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>
              <w:rPr>
                <w:rFonts w:ascii="Arial" w:hAnsi="Arial" w:cs="Arial"/>
                <w:color w:val="003399"/>
                <w:w w:val="105"/>
              </w:rPr>
              <w:t>D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evelopment of an e-learning platform -</w:t>
            </w:r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LB</w:t>
            </w:r>
          </w:p>
          <w:p w14:paraId="571ED6E2" w14:textId="77777777" w:rsidR="00370D45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Development of a series of e-learning courses on managing an agricultural business – LB.</w:t>
            </w:r>
          </w:p>
          <w:p w14:paraId="5F3166C2" w14:textId="77777777" w:rsidR="00C34631" w:rsidRDefault="00370D45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370D45">
              <w:rPr>
                <w:rFonts w:ascii="Arial" w:hAnsi="Arial" w:cs="Arial"/>
                <w:color w:val="003399"/>
                <w:w w:val="105"/>
              </w:rPr>
              <w:t>Organisation of 1 conference on innovative ICT-based solutions for agriculture – LB.</w:t>
            </w:r>
          </w:p>
          <w:p w14:paraId="029BB1B6" w14:textId="7BF11511" w:rsidR="00E46FF0" w:rsidRPr="00F76607" w:rsidRDefault="00C34631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C34631">
              <w:rPr>
                <w:rFonts w:ascii="Arial" w:hAnsi="Arial" w:cs="Arial"/>
                <w:color w:val="003399"/>
                <w:w w:val="105"/>
              </w:rPr>
              <w:t xml:space="preserve">Development of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1 website for jobseekers in agricultural sector-LB</w:t>
            </w:r>
          </w:p>
          <w:p w14:paraId="29FD3523" w14:textId="0B99B639" w:rsidR="00E46FF0" w:rsidRPr="00F76607" w:rsidRDefault="00C34631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C34631">
              <w:rPr>
                <w:rFonts w:ascii="Arial" w:hAnsi="Arial" w:cs="Arial"/>
                <w:color w:val="003399"/>
                <w:w w:val="105"/>
              </w:rPr>
              <w:t xml:space="preserve">Organisation of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1 training class organized at the premises of DABH –LB</w:t>
            </w:r>
          </w:p>
          <w:p w14:paraId="71EC4506" w14:textId="02DCEE46" w:rsidR="00E46FF0" w:rsidRPr="00F76607" w:rsidRDefault="00C34631" w:rsidP="00E46FF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C34631">
              <w:rPr>
                <w:rFonts w:ascii="Arial" w:hAnsi="Arial" w:cs="Arial"/>
                <w:color w:val="003399"/>
                <w:w w:val="105"/>
              </w:rPr>
              <w:t xml:space="preserve">Organisation of </w:t>
            </w:r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2 study visits at Hungarian farms dealing with the cultivation of technical plants-PP4</w:t>
            </w:r>
          </w:p>
          <w:p w14:paraId="26E165B3" w14:textId="77777777" w:rsidR="001662D8" w:rsidRDefault="00C34631" w:rsidP="001662D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C34631">
              <w:rPr>
                <w:rFonts w:ascii="Arial" w:hAnsi="Arial" w:cs="Arial"/>
                <w:color w:val="003399"/>
                <w:w w:val="105"/>
              </w:rPr>
              <w:t xml:space="preserve">Organisation of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2 professional conferences</w:t>
            </w:r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E46FF0" w:rsidRPr="00F76607">
              <w:rPr>
                <w:rFonts w:ascii="Arial" w:hAnsi="Arial" w:cs="Arial"/>
                <w:color w:val="003399"/>
                <w:w w:val="105"/>
              </w:rPr>
              <w:t>for agricultural producers and representatives of industries - PP4</w:t>
            </w:r>
          </w:p>
          <w:p w14:paraId="21C92BF1" w14:textId="77777777" w:rsidR="001662D8" w:rsidRDefault="001662D8" w:rsidP="001662D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1662D8">
              <w:rPr>
                <w:rFonts w:ascii="Arial" w:hAnsi="Arial" w:cs="Arial"/>
                <w:color w:val="003399"/>
                <w:w w:val="105"/>
              </w:rPr>
              <w:t>Organisation of 2 training courses on hemp rope processing and the use of hemp as a construction material – PP4.</w:t>
            </w:r>
            <w:r w:rsidR="00E46FF0" w:rsidRPr="001662D8">
              <w:rPr>
                <w:rFonts w:ascii="Arial" w:hAnsi="Arial" w:cs="Arial"/>
                <w:color w:val="003399"/>
                <w:w w:val="105"/>
              </w:rPr>
              <w:t xml:space="preserve">1 </w:t>
            </w:r>
          </w:p>
          <w:p w14:paraId="12C634AE" w14:textId="1A06EF10" w:rsidR="00E46FF0" w:rsidRPr="001662D8" w:rsidRDefault="001662D8" w:rsidP="001662D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1662D8">
              <w:rPr>
                <w:rFonts w:ascii="Arial" w:hAnsi="Arial" w:cs="Arial"/>
                <w:color w:val="003399"/>
                <w:w w:val="105"/>
              </w:rPr>
              <w:t>Organisation of 1 conference on pedology development in the cross-border area – PP3.</w:t>
            </w:r>
          </w:p>
        </w:tc>
      </w:tr>
    </w:tbl>
    <w:p w14:paraId="290444B4" w14:textId="77777777" w:rsidR="00753F65" w:rsidRDefault="00753F65">
      <w:pPr>
        <w:pStyle w:val="TableParagraph"/>
        <w:jc w:val="both"/>
        <w:sectPr w:rsidR="00753F65">
          <w:headerReference w:type="default" r:id="rId7"/>
          <w:footerReference w:type="default" r:id="rId8"/>
          <w:type w:val="continuous"/>
          <w:pgSz w:w="11910" w:h="16840"/>
          <w:pgMar w:top="1720" w:right="708" w:bottom="1520" w:left="1417" w:header="720" w:footer="1326" w:gutter="0"/>
          <w:pgNumType w:start="1"/>
          <w:cols w:space="720"/>
        </w:sectPr>
      </w:pPr>
    </w:p>
    <w:tbl>
      <w:tblPr>
        <w:tblW w:w="1004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976"/>
      </w:tblGrid>
      <w:tr w:rsidR="00753F65" w14:paraId="00E8F8E7" w14:textId="77777777" w:rsidTr="00EF7958">
        <w:trPr>
          <w:trHeight w:val="1247"/>
        </w:trPr>
        <w:tc>
          <w:tcPr>
            <w:tcW w:w="2066" w:type="dxa"/>
          </w:tcPr>
          <w:p w14:paraId="4F8C36C6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511E3454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0ECA51A9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02AB7D64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07F61343" w14:textId="77777777" w:rsidR="00753F65" w:rsidRDefault="00753F65">
            <w:pPr>
              <w:pStyle w:val="TableParagraph"/>
              <w:rPr>
                <w:rFonts w:ascii="Times New Roman"/>
              </w:rPr>
            </w:pPr>
          </w:p>
          <w:p w14:paraId="064DB216" w14:textId="77777777" w:rsidR="00753F65" w:rsidRDefault="00753F65">
            <w:pPr>
              <w:pStyle w:val="TableParagraph"/>
              <w:spacing w:before="181"/>
              <w:rPr>
                <w:rFonts w:ascii="Times New Roman"/>
              </w:rPr>
            </w:pPr>
          </w:p>
          <w:p w14:paraId="6DB597B3" w14:textId="20D30070" w:rsidR="00753F65" w:rsidRDefault="00000000">
            <w:pPr>
              <w:pStyle w:val="TableParagraph"/>
              <w:ind w:left="347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F76607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976" w:type="dxa"/>
          </w:tcPr>
          <w:p w14:paraId="6462EBD4" w14:textId="3AB6F2F1" w:rsidR="00F76607" w:rsidRDefault="00F76607">
            <w:pPr>
              <w:pStyle w:val="TableParagraph"/>
              <w:spacing w:before="32"/>
              <w:ind w:left="105"/>
              <w:rPr>
                <w:rFonts w:ascii="Arial Black"/>
                <w:color w:val="003399"/>
                <w:spacing w:val="-2"/>
                <w:sz w:val="20"/>
                <w:szCs w:val="20"/>
              </w:rPr>
            </w:pPr>
            <w:r w:rsidRPr="00F76607">
              <w:rPr>
                <w:rFonts w:ascii="Arial Black"/>
                <w:color w:val="003399"/>
                <w:spacing w:val="-2"/>
                <w:sz w:val="20"/>
                <w:szCs w:val="20"/>
              </w:rPr>
              <w:t>Deliverables:</w:t>
            </w:r>
          </w:p>
          <w:p w14:paraId="423ACD15" w14:textId="2C13A6DF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2 training courses on the cultivation of technical plants and on methods for collecting and storing wool.</w:t>
            </w:r>
          </w:p>
          <w:p w14:paraId="64DA6429" w14:textId="66E13500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 xml:space="preserve"> Development of 1 Study and Action Plan for the alternative use of agricultural products to support the local economy in the border area.</w:t>
            </w:r>
          </w:p>
          <w:p w14:paraId="29416851" w14:textId="09756F8C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Acquisition of dedicated software and computer equipment, including a CRM system for citizen relationship management.</w:t>
            </w:r>
          </w:p>
          <w:p w14:paraId="4D4BA2B9" w14:textId="0F694797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4 professional events, including 3 thematic conferences and 1 job fair, focusing on agricultural  presentations and technologies using eco-friendly materials.</w:t>
            </w:r>
          </w:p>
          <w:p w14:paraId="69AE6EFE" w14:textId="59568CC7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Development of an e-learning platform.</w:t>
            </w:r>
          </w:p>
          <w:p w14:paraId="63E4F3AB" w14:textId="7D256D1A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courses on the e-learning platform, covering topics such as computer operation, ICT, and efficient farm management.</w:t>
            </w:r>
          </w:p>
          <w:p w14:paraId="6164C874" w14:textId="400AE66D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1 conference on innovative ICT-based solutions for agriculture.</w:t>
            </w:r>
          </w:p>
          <w:p w14:paraId="726AE21B" w14:textId="0CB885A5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6 trainings for agricultural producers on the use of IT instruments.</w:t>
            </w:r>
          </w:p>
          <w:p w14:paraId="09710918" w14:textId="4CF92AF0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lastRenderedPageBreak/>
              <w:t>Organisation of 1 conference on pedology development in the cross-border area.</w:t>
            </w:r>
          </w:p>
          <w:p w14:paraId="507684C1" w14:textId="1E165490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Rehabilitation and equipping of the Agricultural Training Center in Bihor.</w:t>
            </w:r>
          </w:p>
          <w:p w14:paraId="6DCFD24D" w14:textId="7EB05A45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7 thematic conferences and 2 study visits in the Debrecen agricultural area.</w:t>
            </w:r>
          </w:p>
          <w:p w14:paraId="58C3CD48" w14:textId="20C198A4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Organisation of 2 training courses on the utilization of hemp in construction.</w:t>
            </w:r>
          </w:p>
          <w:p w14:paraId="4BB41FB7" w14:textId="1C567AC4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Compilation of electronic databases:</w:t>
            </w:r>
            <w:r w:rsidR="000B50BA" w:rsidRPr="000B50BA">
              <w:rPr>
                <w:rFonts w:ascii="Arial" w:hAnsi="Arial" w:cs="Arial"/>
                <w:color w:val="003399"/>
                <w:w w:val="105"/>
              </w:rPr>
              <w:t xml:space="preserve"> d</w:t>
            </w:r>
            <w:r w:rsidRPr="00B579A4">
              <w:rPr>
                <w:rFonts w:ascii="Arial" w:hAnsi="Arial" w:cs="Arial"/>
                <w:color w:val="003399"/>
                <w:w w:val="105"/>
              </w:rPr>
              <w:t>etailed database of officially approved plant protection pesticide products and related basic knowledge</w:t>
            </w:r>
            <w:r w:rsidR="000B50BA" w:rsidRPr="000B50BA">
              <w:rPr>
                <w:rFonts w:ascii="Arial" w:hAnsi="Arial" w:cs="Arial"/>
                <w:color w:val="003399"/>
                <w:w w:val="105"/>
              </w:rPr>
              <w:t xml:space="preserve"> and </w:t>
            </w:r>
            <w:r w:rsidR="000B50BA">
              <w:rPr>
                <w:rFonts w:ascii="Arial" w:hAnsi="Arial" w:cs="Arial"/>
                <w:color w:val="003399"/>
                <w:w w:val="105"/>
              </w:rPr>
              <w:t>d</w:t>
            </w:r>
            <w:r w:rsidRPr="00B579A4">
              <w:rPr>
                <w:rFonts w:ascii="Arial" w:hAnsi="Arial" w:cs="Arial"/>
                <w:color w:val="003399"/>
                <w:w w:val="105"/>
              </w:rPr>
              <w:t>etailed database of officially approved crop-enhancing substances and related basic knowledge.</w:t>
            </w:r>
          </w:p>
          <w:p w14:paraId="58318CB1" w14:textId="3835D41B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Compilation of herbariums on weeds and seed collection, as well as a symptom herbarium of the most common plant diseases and pests.</w:t>
            </w:r>
          </w:p>
          <w:p w14:paraId="7FEF3AA3" w14:textId="2A608037" w:rsidR="00B579A4" w:rsidRPr="00B579A4" w:rsidRDefault="00B579A4" w:rsidP="000B50B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B579A4">
              <w:rPr>
                <w:rFonts w:ascii="Arial" w:hAnsi="Arial" w:cs="Arial"/>
                <w:color w:val="003399"/>
                <w:w w:val="105"/>
              </w:rPr>
              <w:t>Field measurements and preparation of a study on the expected appearance of invasive species in the Carpathian Basin, including assessment of potential risks to native plants in the cross-border region.</w:t>
            </w:r>
          </w:p>
          <w:p w14:paraId="4CB4F60B" w14:textId="7F069D1F" w:rsidR="00F76607" w:rsidRDefault="00F76607">
            <w:pPr>
              <w:pStyle w:val="TableParagraph"/>
              <w:spacing w:before="32"/>
              <w:ind w:left="105"/>
              <w:rPr>
                <w:rFonts w:ascii="Arial Black"/>
                <w:color w:val="003399"/>
                <w:spacing w:val="-2"/>
                <w:sz w:val="20"/>
                <w:szCs w:val="20"/>
              </w:rPr>
            </w:pPr>
            <w:r w:rsidRPr="00F76607">
              <w:rPr>
                <w:rFonts w:ascii="Arial Black"/>
                <w:color w:val="003399"/>
                <w:spacing w:val="-2"/>
                <w:sz w:val="20"/>
                <w:szCs w:val="20"/>
              </w:rPr>
              <w:t>Results:</w:t>
            </w:r>
          </w:p>
          <w:p w14:paraId="0712198F" w14:textId="506DA87A" w:rsidR="002B10BC" w:rsidRPr="002B10BC" w:rsidRDefault="002B10BC" w:rsidP="002B10B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2B10BC">
              <w:rPr>
                <w:rFonts w:ascii="Arial" w:hAnsi="Arial" w:cs="Arial"/>
                <w:color w:val="003399"/>
                <w:w w:val="105"/>
              </w:rPr>
              <w:t>The expected increase in infrastructural capacity for training in traditional vocations in the cross-border area was achieved. This was realized through the rehabilitation and equipping of the Agricultural Training Center in Bihor County, as well as the creation</w:t>
            </w:r>
            <w:r w:rsidR="00504BD8">
              <w:rPr>
                <w:rFonts w:ascii="Arial" w:hAnsi="Arial" w:cs="Arial"/>
                <w:color w:val="003399"/>
                <w:w w:val="105"/>
              </w:rPr>
              <w:t xml:space="preserve"> and endowment</w:t>
            </w:r>
            <w:r w:rsidRPr="002B10BC">
              <w:rPr>
                <w:rFonts w:ascii="Arial" w:hAnsi="Arial" w:cs="Arial"/>
                <w:color w:val="003399"/>
                <w:w w:val="105"/>
              </w:rPr>
              <w:t xml:space="preserve"> of an IT training space at the headquarters of the Lead Beneficiary, Direcția Agricolă Bihor. The infrastructural capacity was further enhanced by ICT tools developed within the project, including online training capabilities and a fully operational CRM system for communication with local stakeholders and the general population.</w:t>
            </w:r>
          </w:p>
          <w:p w14:paraId="5C6B324D" w14:textId="15711E28" w:rsidR="002B10BC" w:rsidRPr="002B10BC" w:rsidRDefault="00DF3767" w:rsidP="002B10B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DF3767">
              <w:rPr>
                <w:rFonts w:ascii="Arial" w:hAnsi="Arial" w:cs="Arial"/>
                <w:color w:val="003399"/>
                <w:w w:val="105"/>
              </w:rPr>
              <w:t>1</w:t>
            </w:r>
            <w:r>
              <w:rPr>
                <w:rFonts w:ascii="Arial" w:hAnsi="Arial" w:cs="Arial"/>
                <w:color w:val="003399"/>
                <w:w w:val="105"/>
              </w:rPr>
              <w:t>.</w:t>
            </w:r>
            <w:r w:rsidRPr="00DF3767">
              <w:rPr>
                <w:rFonts w:ascii="Arial" w:hAnsi="Arial" w:cs="Arial"/>
                <w:color w:val="003399"/>
                <w:w w:val="105"/>
              </w:rPr>
              <w:t>463</w:t>
            </w:r>
            <w:r>
              <w:rPr>
                <w:rFonts w:ascii="Arial" w:hAnsi="Arial" w:cs="Arial"/>
                <w:color w:val="003399"/>
                <w:w w:val="105"/>
              </w:rPr>
              <w:t xml:space="preserve"> </w:t>
            </w:r>
            <w:r w:rsidR="002B10BC" w:rsidRPr="002B10BC">
              <w:rPr>
                <w:rFonts w:ascii="Arial" w:hAnsi="Arial" w:cs="Arial"/>
                <w:color w:val="003399"/>
                <w:w w:val="105"/>
              </w:rPr>
              <w:t>persons improved their qualifications and employment skills after participating in vocational training courses, thematic conferences, and professional events organized within the project.</w:t>
            </w:r>
          </w:p>
          <w:p w14:paraId="1775AC63" w14:textId="5ACBA498" w:rsidR="002B10BC" w:rsidRPr="002B10BC" w:rsidRDefault="002B10BC" w:rsidP="002B10B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2B10BC">
              <w:rPr>
                <w:rFonts w:ascii="Arial" w:hAnsi="Arial" w:cs="Arial"/>
                <w:color w:val="003399"/>
                <w:w w:val="105"/>
              </w:rPr>
              <w:t>Participants in e-learning courses, ICT-based trainings, and agriculture management sessions gained increased skills and practical know-how.</w:t>
            </w:r>
          </w:p>
          <w:p w14:paraId="18630179" w14:textId="51762EB0" w:rsidR="002B10BC" w:rsidRPr="002B10BC" w:rsidRDefault="002B10BC" w:rsidP="002B10BC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5" w:line="290" w:lineRule="auto"/>
              <w:ind w:right="94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2B10BC">
              <w:rPr>
                <w:rFonts w:ascii="Arial" w:hAnsi="Arial" w:cs="Arial"/>
                <w:color w:val="003399"/>
                <w:w w:val="105"/>
              </w:rPr>
              <w:t>Knowledge on endemic, endangered, and invasive plant species in the cross-border area was enhanced, and detailed action plans were developed to ensure a sustainable and viable environment, based on studies and reports compiled during the project.</w:t>
            </w:r>
          </w:p>
          <w:p w14:paraId="0EBFBF13" w14:textId="1D2EB2F2" w:rsidR="00F76607" w:rsidRPr="00F76607" w:rsidRDefault="00F76607" w:rsidP="002B10BC">
            <w:pPr>
              <w:pStyle w:val="TableParagraph"/>
              <w:spacing w:before="32"/>
              <w:rPr>
                <w:rFonts w:ascii="Arial Black"/>
                <w:color w:val="003399"/>
                <w:spacing w:val="-2"/>
                <w:sz w:val="20"/>
                <w:szCs w:val="20"/>
              </w:rPr>
            </w:pPr>
            <w:r>
              <w:rPr>
                <w:rFonts w:ascii="Arial Black"/>
                <w:color w:val="003399"/>
                <w:spacing w:val="-2"/>
                <w:sz w:val="20"/>
                <w:szCs w:val="20"/>
              </w:rPr>
              <w:t>Indicators:</w:t>
            </w:r>
          </w:p>
          <w:p w14:paraId="66DE8032" w14:textId="20657A2C" w:rsidR="00753F65" w:rsidRDefault="00F76607" w:rsidP="00F76607">
            <w:pPr>
              <w:pStyle w:val="TableParagraph"/>
              <w:tabs>
                <w:tab w:val="left" w:pos="1021"/>
              </w:tabs>
              <w:spacing w:before="53"/>
            </w:pPr>
            <w:r w:rsidRPr="00F76607">
              <w:rPr>
                <w:rFonts w:ascii="Arial" w:hAnsi="Arial" w:cs="Arial"/>
                <w:color w:val="003399"/>
                <w:w w:val="105"/>
              </w:rPr>
              <w:t xml:space="preserve">The Programme Output Indicator </w:t>
            </w:r>
            <w:r w:rsidR="00DF3767">
              <w:rPr>
                <w:rFonts w:ascii="Arial" w:hAnsi="Arial" w:cs="Arial"/>
                <w:color w:val="003399"/>
                <w:w w:val="105"/>
              </w:rPr>
              <w:t>was</w:t>
            </w:r>
            <w:r w:rsidRPr="00F76607">
              <w:rPr>
                <w:rFonts w:ascii="Arial" w:hAnsi="Arial" w:cs="Arial"/>
                <w:color w:val="003399"/>
                <w:w w:val="105"/>
              </w:rPr>
              <w:t xml:space="preserve"> „ CO44 Labour Market and Training: Number of participants in joint local employment initiatives and joint training”. Through the project ROHU-426, </w:t>
            </w:r>
            <w:r w:rsidR="00DF3767" w:rsidRPr="00DF3767">
              <w:rPr>
                <w:rFonts w:ascii="Arial" w:hAnsi="Arial" w:cs="Arial"/>
                <w:b/>
                <w:bCs/>
                <w:color w:val="003399"/>
                <w:w w:val="105"/>
              </w:rPr>
              <w:t>1463</w:t>
            </w:r>
            <w:r w:rsidRPr="00DF3767">
              <w:rPr>
                <w:rFonts w:ascii="Arial" w:hAnsi="Arial" w:cs="Arial"/>
                <w:b/>
                <w:bCs/>
                <w:color w:val="003399"/>
                <w:w w:val="105"/>
              </w:rPr>
              <w:t xml:space="preserve"> people</w:t>
            </w:r>
            <w:r w:rsidRPr="00F76607">
              <w:rPr>
                <w:rFonts w:ascii="Arial" w:hAnsi="Arial" w:cs="Arial"/>
                <w:color w:val="003399"/>
                <w:w w:val="105"/>
              </w:rPr>
              <w:t xml:space="preserve"> participated in joint local employment initiatives and joint training.</w:t>
            </w:r>
          </w:p>
        </w:tc>
      </w:tr>
    </w:tbl>
    <w:p w14:paraId="04A15744" w14:textId="77777777" w:rsidR="00D35D46" w:rsidRDefault="00D35D46"/>
    <w:sectPr w:rsidR="00D35D46">
      <w:type w:val="continuous"/>
      <w:pgSz w:w="11910" w:h="16840"/>
      <w:pgMar w:top="1740" w:right="708" w:bottom="1520" w:left="1417" w:header="72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F8BF" w14:textId="77777777" w:rsidR="00993398" w:rsidRDefault="00993398">
      <w:r>
        <w:separator/>
      </w:r>
    </w:p>
  </w:endnote>
  <w:endnote w:type="continuationSeparator" w:id="0">
    <w:p w14:paraId="2F247118" w14:textId="77777777" w:rsidR="00993398" w:rsidRDefault="0099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F02" w14:textId="77777777" w:rsidR="00753F6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B214B1A" wp14:editId="374AFB37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F62B6" w14:textId="77777777" w:rsidR="00753F65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14B1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64.6pt;width:143.2pt;height:15.6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7C3F62B6" w14:textId="77777777" w:rsidR="00753F65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2942D7E" wp14:editId="19A223AD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44392" w14:textId="77777777" w:rsidR="00753F65" w:rsidRDefault="00753F65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126126C9" w14:textId="77777777" w:rsidR="00753F65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42D7E" id="Textbox 7" o:spid="_x0000_s1027" type="#_x0000_t202" style="position:absolute;margin-left:419.3pt;margin-top:764.6pt;width:108.2pt;height:28.6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66C44392" w14:textId="77777777" w:rsidR="00753F65" w:rsidRDefault="00753F65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126126C9" w14:textId="77777777" w:rsidR="00753F65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50C" w14:textId="77777777" w:rsidR="00993398" w:rsidRDefault="00993398">
      <w:r>
        <w:separator/>
      </w:r>
    </w:p>
  </w:footnote>
  <w:footnote w:type="continuationSeparator" w:id="0">
    <w:p w14:paraId="0CFCF42F" w14:textId="77777777" w:rsidR="00993398" w:rsidRDefault="0099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0517" w14:textId="77777777" w:rsidR="00753F65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0560" behindDoc="1" locked="0" layoutInCell="1" allowOverlap="1" wp14:anchorId="7C54328F" wp14:editId="4524912F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1072" behindDoc="1" locked="0" layoutInCell="1" allowOverlap="1" wp14:anchorId="26E28E05" wp14:editId="5C6F1667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1584" behindDoc="1" locked="0" layoutInCell="1" allowOverlap="1" wp14:anchorId="2CBB5D4A" wp14:editId="2AF69AA1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2096" behindDoc="1" locked="0" layoutInCell="1" allowOverlap="1" wp14:anchorId="5196D58C" wp14:editId="228B4B81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2608" behindDoc="1" locked="0" layoutInCell="1" allowOverlap="1" wp14:anchorId="54DC6010" wp14:editId="255E3B9A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BB6"/>
    <w:multiLevelType w:val="hybridMultilevel"/>
    <w:tmpl w:val="ED848FC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F46709C"/>
    <w:multiLevelType w:val="hybridMultilevel"/>
    <w:tmpl w:val="8854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51F8"/>
    <w:multiLevelType w:val="hybridMultilevel"/>
    <w:tmpl w:val="2D127D20"/>
    <w:lvl w:ilvl="0" w:tplc="4ADE77CC">
      <w:numFmt w:val="bullet"/>
      <w:lvlText w:val=""/>
      <w:lvlJc w:val="left"/>
      <w:pPr>
        <w:ind w:left="465" w:hanging="360"/>
      </w:pPr>
      <w:rPr>
        <w:rFonts w:ascii="Arial" w:eastAsia="Microsoft Sans Serif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382B1116"/>
    <w:multiLevelType w:val="hybridMultilevel"/>
    <w:tmpl w:val="96B888BC"/>
    <w:lvl w:ilvl="0" w:tplc="3B6051FE">
      <w:numFmt w:val="bullet"/>
      <w:lvlText w:val="-"/>
      <w:lvlJc w:val="left"/>
      <w:pPr>
        <w:ind w:left="826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D63E8B40">
      <w:numFmt w:val="bullet"/>
      <w:lvlText w:val="•"/>
      <w:lvlJc w:val="left"/>
      <w:pPr>
        <w:ind w:left="1493" w:hanging="197"/>
      </w:pPr>
      <w:rPr>
        <w:rFonts w:hint="default"/>
        <w:lang w:val="en-US" w:eastAsia="en-US" w:bidi="ar-SA"/>
      </w:rPr>
    </w:lvl>
    <w:lvl w:ilvl="2" w:tplc="7DFCAA56">
      <w:numFmt w:val="bullet"/>
      <w:lvlText w:val="•"/>
      <w:lvlJc w:val="left"/>
      <w:pPr>
        <w:ind w:left="2167" w:hanging="197"/>
      </w:pPr>
      <w:rPr>
        <w:rFonts w:hint="default"/>
        <w:lang w:val="en-US" w:eastAsia="en-US" w:bidi="ar-SA"/>
      </w:rPr>
    </w:lvl>
    <w:lvl w:ilvl="3" w:tplc="3B62957A">
      <w:numFmt w:val="bullet"/>
      <w:lvlText w:val="•"/>
      <w:lvlJc w:val="left"/>
      <w:pPr>
        <w:ind w:left="2841" w:hanging="197"/>
      </w:pPr>
      <w:rPr>
        <w:rFonts w:hint="default"/>
        <w:lang w:val="en-US" w:eastAsia="en-US" w:bidi="ar-SA"/>
      </w:rPr>
    </w:lvl>
    <w:lvl w:ilvl="4" w:tplc="D898C014">
      <w:numFmt w:val="bullet"/>
      <w:lvlText w:val="•"/>
      <w:lvlJc w:val="left"/>
      <w:pPr>
        <w:ind w:left="3515" w:hanging="197"/>
      </w:pPr>
      <w:rPr>
        <w:rFonts w:hint="default"/>
        <w:lang w:val="en-US" w:eastAsia="en-US" w:bidi="ar-SA"/>
      </w:rPr>
    </w:lvl>
    <w:lvl w:ilvl="5" w:tplc="498E195A">
      <w:numFmt w:val="bullet"/>
      <w:lvlText w:val="•"/>
      <w:lvlJc w:val="left"/>
      <w:pPr>
        <w:ind w:left="4189" w:hanging="197"/>
      </w:pPr>
      <w:rPr>
        <w:rFonts w:hint="default"/>
        <w:lang w:val="en-US" w:eastAsia="en-US" w:bidi="ar-SA"/>
      </w:rPr>
    </w:lvl>
    <w:lvl w:ilvl="6" w:tplc="DD14D654">
      <w:numFmt w:val="bullet"/>
      <w:lvlText w:val="•"/>
      <w:lvlJc w:val="left"/>
      <w:pPr>
        <w:ind w:left="4862" w:hanging="197"/>
      </w:pPr>
      <w:rPr>
        <w:rFonts w:hint="default"/>
        <w:lang w:val="en-US" w:eastAsia="en-US" w:bidi="ar-SA"/>
      </w:rPr>
    </w:lvl>
    <w:lvl w:ilvl="7" w:tplc="EC423A94">
      <w:numFmt w:val="bullet"/>
      <w:lvlText w:val="•"/>
      <w:lvlJc w:val="left"/>
      <w:pPr>
        <w:ind w:left="5536" w:hanging="197"/>
      </w:pPr>
      <w:rPr>
        <w:rFonts w:hint="default"/>
        <w:lang w:val="en-US" w:eastAsia="en-US" w:bidi="ar-SA"/>
      </w:rPr>
    </w:lvl>
    <w:lvl w:ilvl="8" w:tplc="B80E9426">
      <w:numFmt w:val="bullet"/>
      <w:lvlText w:val="•"/>
      <w:lvlJc w:val="left"/>
      <w:pPr>
        <w:ind w:left="621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537E5C29"/>
    <w:multiLevelType w:val="hybridMultilevel"/>
    <w:tmpl w:val="B23C4960"/>
    <w:lvl w:ilvl="0" w:tplc="6D64263E">
      <w:numFmt w:val="bullet"/>
      <w:lvlText w:val="-"/>
      <w:lvlJc w:val="left"/>
      <w:pPr>
        <w:ind w:left="826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8E1C3EBA">
      <w:numFmt w:val="bullet"/>
      <w:lvlText w:val=""/>
      <w:lvlJc w:val="left"/>
      <w:pPr>
        <w:ind w:left="14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C01A5E7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7F2899BE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8DACA5A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CCB6EE54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6" w:tplc="AF1691F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7" w:tplc="073A814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8E76CC50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0F1499"/>
    <w:multiLevelType w:val="hybridMultilevel"/>
    <w:tmpl w:val="BA34DD0E"/>
    <w:lvl w:ilvl="0" w:tplc="206414A8">
      <w:numFmt w:val="bullet"/>
      <w:lvlText w:val="-"/>
      <w:lvlJc w:val="left"/>
      <w:pPr>
        <w:ind w:left="826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CD28F9F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500C3112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3" w:tplc="DDC0A594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92625D80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5" w:tplc="7316856E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6332085A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7" w:tplc="DF9029FC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8" w:tplc="1D8620EA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F393055"/>
    <w:multiLevelType w:val="multilevel"/>
    <w:tmpl w:val="F256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302EC"/>
    <w:multiLevelType w:val="hybridMultilevel"/>
    <w:tmpl w:val="83B66954"/>
    <w:lvl w:ilvl="0" w:tplc="0409000F">
      <w:start w:val="1"/>
      <w:numFmt w:val="decimal"/>
      <w:lvlText w:val="%1."/>
      <w:lvlJc w:val="left"/>
      <w:pPr>
        <w:ind w:left="826" w:hanging="361"/>
      </w:pPr>
      <w:rPr>
        <w:rFonts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3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</w:abstractNum>
  <w:num w:numId="1" w16cid:durableId="1524393900">
    <w:abstractNumId w:val="3"/>
  </w:num>
  <w:num w:numId="2" w16cid:durableId="1395615260">
    <w:abstractNumId w:val="4"/>
  </w:num>
  <w:num w:numId="3" w16cid:durableId="620572483">
    <w:abstractNumId w:val="5"/>
  </w:num>
  <w:num w:numId="4" w16cid:durableId="1813671025">
    <w:abstractNumId w:val="6"/>
  </w:num>
  <w:num w:numId="5" w16cid:durableId="1107113832">
    <w:abstractNumId w:val="7"/>
  </w:num>
  <w:num w:numId="6" w16cid:durableId="1868986820">
    <w:abstractNumId w:val="0"/>
  </w:num>
  <w:num w:numId="7" w16cid:durableId="342170105">
    <w:abstractNumId w:val="2"/>
  </w:num>
  <w:num w:numId="8" w16cid:durableId="80866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5"/>
    <w:rsid w:val="00032151"/>
    <w:rsid w:val="000B50BA"/>
    <w:rsid w:val="000C2A76"/>
    <w:rsid w:val="001662D8"/>
    <w:rsid w:val="002B10BC"/>
    <w:rsid w:val="002D0A63"/>
    <w:rsid w:val="002D35B7"/>
    <w:rsid w:val="003522E9"/>
    <w:rsid w:val="00370D45"/>
    <w:rsid w:val="00504BD8"/>
    <w:rsid w:val="00522B95"/>
    <w:rsid w:val="006461E0"/>
    <w:rsid w:val="00753F65"/>
    <w:rsid w:val="0087706D"/>
    <w:rsid w:val="008C1CFC"/>
    <w:rsid w:val="00993398"/>
    <w:rsid w:val="00AD6131"/>
    <w:rsid w:val="00B26E25"/>
    <w:rsid w:val="00B579A4"/>
    <w:rsid w:val="00B73376"/>
    <w:rsid w:val="00B900F8"/>
    <w:rsid w:val="00C34631"/>
    <w:rsid w:val="00D35D46"/>
    <w:rsid w:val="00DF3767"/>
    <w:rsid w:val="00E46FF0"/>
    <w:rsid w:val="00EF7958"/>
    <w:rsid w:val="00F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2657"/>
  <w15:docId w15:val="{F279C05C-730F-4BCB-B3E4-20C5E23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dcterms:created xsi:type="dcterms:W3CDTF">2026-02-27T09:44:00Z</dcterms:created>
  <dcterms:modified xsi:type="dcterms:W3CDTF">2026-03-25T14:44:00Z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b6a7ae2e-8907-4509-940e-76ece2da1a83</vt:lpwstr>
  </property>
</Properties>
</file>