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04"/>
        <w:gridCol w:w="8034"/>
      </w:tblGrid>
      <w:tr w:rsidR="00513CFB" w:rsidRPr="009227B4" w14:paraId="7768BC68" w14:textId="77777777">
        <w:trPr>
          <w:trHeight w:val="417"/>
        </w:trPr>
        <w:tc>
          <w:tcPr>
            <w:tcW w:w="10038" w:type="dxa"/>
            <w:gridSpan w:val="2"/>
            <w:shd w:val="clear" w:color="auto" w:fill="003399"/>
          </w:tcPr>
          <w:p w14:paraId="0758DED1" w14:textId="77777777" w:rsidR="00513CFB" w:rsidRPr="009227B4" w:rsidRDefault="00000000">
            <w:pPr>
              <w:pStyle w:val="TableParagraph"/>
              <w:spacing w:before="50"/>
              <w:ind w:left="112"/>
              <w:rPr>
                <w:rFonts w:ascii="Open Sans" w:hAnsi="Open Sans" w:cs="Open Sans"/>
                <w:b/>
                <w:bCs/>
              </w:rPr>
            </w:pPr>
            <w:r w:rsidRPr="009227B4">
              <w:rPr>
                <w:rFonts w:ascii="Open Sans" w:hAnsi="Open Sans" w:cs="Open Sans"/>
                <w:b/>
                <w:bCs/>
                <w:color w:val="FFFFFF"/>
              </w:rPr>
              <w:t>3rd Restricted Call for Proposals - Full Application Form</w:t>
            </w:r>
          </w:p>
        </w:tc>
      </w:tr>
      <w:tr w:rsidR="00513CFB" w:rsidRPr="009227B4" w14:paraId="77B40A82" w14:textId="77777777">
        <w:trPr>
          <w:trHeight w:val="441"/>
        </w:trPr>
        <w:tc>
          <w:tcPr>
            <w:tcW w:w="2004" w:type="dxa"/>
            <w:shd w:val="clear" w:color="auto" w:fill="E7E6E6"/>
          </w:tcPr>
          <w:p w14:paraId="0810E2BD" w14:textId="77777777" w:rsidR="00513CFB" w:rsidRPr="009227B4" w:rsidRDefault="00000000">
            <w:pPr>
              <w:pStyle w:val="TableParagraph"/>
              <w:spacing w:before="62"/>
              <w:ind w:left="112"/>
              <w:rPr>
                <w:rFonts w:ascii="Open Sans" w:hAnsi="Open Sans" w:cs="Open Sans"/>
                <w:b/>
                <w:bCs/>
              </w:rPr>
            </w:pPr>
            <w:r w:rsidRPr="009227B4">
              <w:rPr>
                <w:rFonts w:ascii="Open Sans" w:hAnsi="Open Sans" w:cs="Open Sans"/>
                <w:b/>
                <w:bCs/>
                <w:color w:val="003399"/>
              </w:rPr>
              <w:t>Project code</w:t>
            </w:r>
          </w:p>
        </w:tc>
        <w:tc>
          <w:tcPr>
            <w:tcW w:w="8034" w:type="dxa"/>
          </w:tcPr>
          <w:p w14:paraId="0AD71101" w14:textId="77777777" w:rsidR="00513CFB" w:rsidRPr="009227B4" w:rsidRDefault="00000000">
            <w:pPr>
              <w:pStyle w:val="TableParagraph"/>
              <w:spacing w:before="53"/>
              <w:ind w:left="113"/>
              <w:rPr>
                <w:rFonts w:ascii="Open Sans" w:hAnsi="Open Sans" w:cs="Open Sans"/>
                <w:b/>
                <w:bCs/>
              </w:rPr>
            </w:pPr>
            <w:r w:rsidRPr="009227B4">
              <w:rPr>
                <w:rFonts w:ascii="Open Sans" w:hAnsi="Open Sans" w:cs="Open Sans"/>
                <w:b/>
                <w:bCs/>
                <w:color w:val="003399"/>
              </w:rPr>
              <w:t>ROHU-445 FAF</w:t>
            </w:r>
          </w:p>
        </w:tc>
      </w:tr>
      <w:tr w:rsidR="00513CFB" w:rsidRPr="009227B4" w14:paraId="6A7E0832" w14:textId="77777777">
        <w:trPr>
          <w:trHeight w:val="784"/>
        </w:trPr>
        <w:tc>
          <w:tcPr>
            <w:tcW w:w="2004" w:type="dxa"/>
            <w:shd w:val="clear" w:color="auto" w:fill="E7E6E6"/>
          </w:tcPr>
          <w:p w14:paraId="51041171" w14:textId="77777777" w:rsidR="00513CFB" w:rsidRPr="009227B4" w:rsidRDefault="00000000">
            <w:pPr>
              <w:pStyle w:val="TableParagraph"/>
              <w:spacing w:before="235"/>
              <w:ind w:left="112"/>
              <w:rPr>
                <w:rFonts w:ascii="Open Sans" w:hAnsi="Open Sans" w:cs="Open Sans"/>
                <w:b/>
                <w:bCs/>
              </w:rPr>
            </w:pPr>
            <w:r w:rsidRPr="009227B4">
              <w:rPr>
                <w:rFonts w:ascii="Open Sans" w:hAnsi="Open Sans" w:cs="Open Sans"/>
                <w:b/>
                <w:bCs/>
                <w:color w:val="003399"/>
              </w:rPr>
              <w:t>Project Title</w:t>
            </w:r>
          </w:p>
        </w:tc>
        <w:tc>
          <w:tcPr>
            <w:tcW w:w="8034" w:type="dxa"/>
          </w:tcPr>
          <w:p w14:paraId="241DEB67" w14:textId="77777777" w:rsidR="00513CFB" w:rsidRPr="009227B4" w:rsidRDefault="00000000">
            <w:pPr>
              <w:pStyle w:val="TableParagraph"/>
              <w:spacing w:before="65"/>
              <w:ind w:left="113"/>
              <w:rPr>
                <w:rFonts w:ascii="Open Sans" w:hAnsi="Open Sans" w:cs="Open Sans"/>
                <w:b/>
                <w:bCs/>
              </w:rPr>
            </w:pPr>
            <w:r w:rsidRPr="009227B4">
              <w:rPr>
                <w:rFonts w:ascii="Open Sans" w:hAnsi="Open Sans" w:cs="Open Sans"/>
                <w:b/>
                <w:bCs/>
                <w:color w:val="003399"/>
              </w:rPr>
              <w:t>CBC Incubator</w:t>
            </w:r>
          </w:p>
          <w:p w14:paraId="2ADC8F9B" w14:textId="77777777" w:rsidR="00513CFB" w:rsidRPr="009227B4" w:rsidRDefault="00000000">
            <w:pPr>
              <w:pStyle w:val="TableParagraph"/>
              <w:spacing w:before="28"/>
              <w:ind w:left="113"/>
              <w:rPr>
                <w:rFonts w:ascii="Open Sans" w:hAnsi="Open Sans" w:cs="Open Sans"/>
              </w:rPr>
            </w:pPr>
            <w:r w:rsidRPr="009227B4">
              <w:rPr>
                <w:rFonts w:ascii="Open Sans" w:hAnsi="Open Sans" w:cs="Open Sans"/>
                <w:color w:val="003399"/>
              </w:rPr>
              <w:t>Romanian-Hungarian cross-border cultural incubator for performing arts</w:t>
            </w:r>
          </w:p>
        </w:tc>
      </w:tr>
      <w:tr w:rsidR="00513CFB" w:rsidRPr="009227B4" w14:paraId="3AB7722F" w14:textId="77777777">
        <w:trPr>
          <w:trHeight w:val="784"/>
        </w:trPr>
        <w:tc>
          <w:tcPr>
            <w:tcW w:w="2004" w:type="dxa"/>
            <w:shd w:val="clear" w:color="auto" w:fill="E7E6E6"/>
          </w:tcPr>
          <w:p w14:paraId="000D4CAC" w14:textId="77777777" w:rsidR="00513CFB" w:rsidRPr="009227B4" w:rsidRDefault="00000000">
            <w:pPr>
              <w:pStyle w:val="TableParagraph"/>
              <w:spacing w:before="233"/>
              <w:ind w:left="112"/>
              <w:rPr>
                <w:rFonts w:ascii="Open Sans" w:hAnsi="Open Sans" w:cs="Open Sans"/>
                <w:b/>
                <w:bCs/>
              </w:rPr>
            </w:pPr>
            <w:r w:rsidRPr="009227B4">
              <w:rPr>
                <w:rFonts w:ascii="Open Sans" w:hAnsi="Open Sans" w:cs="Open Sans"/>
                <w:b/>
                <w:bCs/>
                <w:color w:val="003399"/>
              </w:rPr>
              <w:t>Priority Axis</w:t>
            </w:r>
          </w:p>
        </w:tc>
        <w:tc>
          <w:tcPr>
            <w:tcW w:w="8034" w:type="dxa"/>
          </w:tcPr>
          <w:p w14:paraId="1943022F" w14:textId="77777777" w:rsidR="00513CFB" w:rsidRPr="009227B4" w:rsidRDefault="00000000">
            <w:pPr>
              <w:pStyle w:val="TableParagraph"/>
              <w:spacing w:before="84" w:line="288" w:lineRule="auto"/>
              <w:ind w:left="113"/>
              <w:rPr>
                <w:rFonts w:ascii="Open Sans" w:hAnsi="Open Sans" w:cs="Open Sans"/>
              </w:rPr>
            </w:pPr>
            <w:r w:rsidRPr="009227B4">
              <w:rPr>
                <w:rFonts w:ascii="Open Sans" w:hAnsi="Open Sans" w:cs="Open Sans"/>
                <w:color w:val="003399"/>
              </w:rPr>
              <w:t>1 - Joint protection and efficient use of common values and resources (Cooperating on common values and resources)</w:t>
            </w:r>
          </w:p>
        </w:tc>
      </w:tr>
      <w:tr w:rsidR="00513CFB" w:rsidRPr="009227B4" w14:paraId="337147BA" w14:textId="77777777">
        <w:trPr>
          <w:trHeight w:val="782"/>
        </w:trPr>
        <w:tc>
          <w:tcPr>
            <w:tcW w:w="2004" w:type="dxa"/>
            <w:shd w:val="clear" w:color="auto" w:fill="E7E6E6"/>
          </w:tcPr>
          <w:p w14:paraId="2AA4438B" w14:textId="77777777" w:rsidR="00513CFB" w:rsidRPr="009227B4" w:rsidRDefault="00000000">
            <w:pPr>
              <w:pStyle w:val="TableParagraph"/>
              <w:spacing w:before="89" w:line="232" w:lineRule="auto"/>
              <w:ind w:left="112"/>
              <w:rPr>
                <w:rFonts w:ascii="Open Sans" w:hAnsi="Open Sans" w:cs="Open Sans"/>
                <w:b/>
                <w:bCs/>
              </w:rPr>
            </w:pPr>
            <w:r w:rsidRPr="009227B4">
              <w:rPr>
                <w:rFonts w:ascii="Open Sans" w:hAnsi="Open Sans" w:cs="Open Sans"/>
                <w:b/>
                <w:bCs/>
                <w:color w:val="003399"/>
              </w:rPr>
              <w:t>Investment priority</w:t>
            </w:r>
          </w:p>
        </w:tc>
        <w:tc>
          <w:tcPr>
            <w:tcW w:w="8034" w:type="dxa"/>
          </w:tcPr>
          <w:p w14:paraId="7AC00448" w14:textId="77777777" w:rsidR="00513CFB" w:rsidRPr="009227B4" w:rsidRDefault="00000000">
            <w:pPr>
              <w:pStyle w:val="TableParagraph"/>
              <w:spacing w:before="12" w:line="288" w:lineRule="auto"/>
              <w:ind w:left="113"/>
              <w:rPr>
                <w:rFonts w:ascii="Open Sans" w:hAnsi="Open Sans" w:cs="Open Sans"/>
              </w:rPr>
            </w:pPr>
            <w:r w:rsidRPr="009227B4">
              <w:rPr>
                <w:rFonts w:ascii="Open Sans" w:hAnsi="Open Sans" w:cs="Open Sans"/>
                <w:color w:val="003399"/>
              </w:rPr>
              <w:t>6/c - Conserving, protecting, promoting and developing natural and cultural heritage</w:t>
            </w:r>
          </w:p>
        </w:tc>
      </w:tr>
      <w:tr w:rsidR="00513CFB" w:rsidRPr="009227B4" w14:paraId="22327CBF" w14:textId="77777777">
        <w:trPr>
          <w:trHeight w:val="784"/>
        </w:trPr>
        <w:tc>
          <w:tcPr>
            <w:tcW w:w="2004" w:type="dxa"/>
            <w:shd w:val="clear" w:color="auto" w:fill="E7E6E6"/>
          </w:tcPr>
          <w:p w14:paraId="1BD970EE" w14:textId="77777777" w:rsidR="00513CFB" w:rsidRPr="009227B4" w:rsidRDefault="00000000">
            <w:pPr>
              <w:pStyle w:val="TableParagraph"/>
              <w:spacing w:before="91" w:line="232" w:lineRule="auto"/>
              <w:ind w:left="112" w:right="107"/>
              <w:rPr>
                <w:rFonts w:ascii="Open Sans" w:hAnsi="Open Sans" w:cs="Open Sans"/>
                <w:b/>
                <w:bCs/>
              </w:rPr>
            </w:pPr>
            <w:r w:rsidRPr="009227B4">
              <w:rPr>
                <w:rFonts w:ascii="Open Sans" w:hAnsi="Open Sans" w:cs="Open Sans"/>
                <w:b/>
                <w:bCs/>
                <w:color w:val="003399"/>
              </w:rPr>
              <w:t>Implementation period</w:t>
            </w:r>
          </w:p>
        </w:tc>
        <w:tc>
          <w:tcPr>
            <w:tcW w:w="8034" w:type="dxa"/>
          </w:tcPr>
          <w:p w14:paraId="7FCE2370" w14:textId="77777777" w:rsidR="00513CFB" w:rsidRPr="009227B4" w:rsidRDefault="00000000">
            <w:pPr>
              <w:pStyle w:val="TableParagraph"/>
              <w:spacing w:before="245"/>
              <w:ind w:left="113"/>
              <w:rPr>
                <w:rFonts w:ascii="Open Sans" w:hAnsi="Open Sans" w:cs="Open Sans"/>
              </w:rPr>
            </w:pPr>
            <w:r w:rsidRPr="009227B4">
              <w:rPr>
                <w:rFonts w:ascii="Open Sans" w:hAnsi="Open Sans" w:cs="Open Sans"/>
                <w:color w:val="003399"/>
              </w:rPr>
              <w:t>55 months (June 01, 2019 – December 31, 2023)</w:t>
            </w:r>
          </w:p>
        </w:tc>
      </w:tr>
      <w:tr w:rsidR="00513CFB" w:rsidRPr="009227B4" w14:paraId="186C6E8C" w14:textId="77777777">
        <w:trPr>
          <w:trHeight w:val="1081"/>
        </w:trPr>
        <w:tc>
          <w:tcPr>
            <w:tcW w:w="2004" w:type="dxa"/>
            <w:shd w:val="clear" w:color="auto" w:fill="E7E6E6"/>
          </w:tcPr>
          <w:p w14:paraId="05E86503" w14:textId="77777777" w:rsidR="00513CFB" w:rsidRPr="009227B4" w:rsidRDefault="00513CFB">
            <w:pPr>
              <w:pStyle w:val="TableParagraph"/>
              <w:spacing w:before="131"/>
              <w:rPr>
                <w:rFonts w:ascii="Open Sans" w:hAnsi="Open Sans" w:cs="Open Sans"/>
                <w:b/>
                <w:bCs/>
              </w:rPr>
            </w:pPr>
          </w:p>
          <w:p w14:paraId="3F77CB5A" w14:textId="77777777" w:rsidR="00513CFB" w:rsidRPr="009227B4" w:rsidRDefault="00000000">
            <w:pPr>
              <w:pStyle w:val="TableParagraph"/>
              <w:ind w:left="112"/>
              <w:rPr>
                <w:rFonts w:ascii="Open Sans" w:hAnsi="Open Sans" w:cs="Open Sans"/>
                <w:b/>
                <w:bCs/>
              </w:rPr>
            </w:pPr>
            <w:r w:rsidRPr="009227B4">
              <w:rPr>
                <w:rFonts w:ascii="Open Sans" w:hAnsi="Open Sans" w:cs="Open Sans"/>
                <w:b/>
                <w:bCs/>
                <w:color w:val="003399"/>
              </w:rPr>
              <w:t>Partnership</w:t>
            </w:r>
          </w:p>
        </w:tc>
        <w:tc>
          <w:tcPr>
            <w:tcW w:w="8034" w:type="dxa"/>
          </w:tcPr>
          <w:p w14:paraId="71C11C6D" w14:textId="77777777" w:rsidR="00513CFB" w:rsidRPr="009227B4" w:rsidRDefault="00000000">
            <w:pPr>
              <w:pStyle w:val="TableParagraph"/>
              <w:tabs>
                <w:tab w:val="left" w:pos="763"/>
              </w:tabs>
              <w:spacing w:before="2" w:line="278" w:lineRule="auto"/>
              <w:ind w:left="113" w:right="3272"/>
              <w:rPr>
                <w:rFonts w:ascii="Open Sans" w:hAnsi="Open Sans" w:cs="Open Sans"/>
              </w:rPr>
            </w:pPr>
            <w:r w:rsidRPr="009227B4">
              <w:rPr>
                <w:rFonts w:ascii="Open Sans" w:hAnsi="Open Sans" w:cs="Open Sans"/>
                <w:color w:val="003399"/>
              </w:rPr>
              <w:t>LB: Csokonai Theatre (Debrecen, Hungary) PP2:</w:t>
            </w:r>
            <w:r w:rsidRPr="009227B4">
              <w:rPr>
                <w:rFonts w:ascii="Open Sans" w:hAnsi="Open Sans" w:cs="Open Sans"/>
                <w:color w:val="003399"/>
              </w:rPr>
              <w:tab/>
              <w:t xml:space="preserve">Municipality of Debrecen (Hungary) PP3: </w:t>
            </w:r>
            <w:proofErr w:type="spellStart"/>
            <w:r w:rsidRPr="009227B4">
              <w:rPr>
                <w:rFonts w:ascii="Open Sans" w:hAnsi="Open Sans" w:cs="Open Sans"/>
                <w:color w:val="003399"/>
              </w:rPr>
              <w:t>Szigligeti</w:t>
            </w:r>
            <w:proofErr w:type="spellEnd"/>
            <w:r w:rsidRPr="009227B4">
              <w:rPr>
                <w:rFonts w:ascii="Open Sans" w:hAnsi="Open Sans" w:cs="Open Sans"/>
                <w:color w:val="003399"/>
              </w:rPr>
              <w:t xml:space="preserve"> Theatre (Oradea, Romania)</w:t>
            </w:r>
          </w:p>
        </w:tc>
      </w:tr>
      <w:tr w:rsidR="00513CFB" w:rsidRPr="009227B4" w14:paraId="045AE376" w14:textId="77777777">
        <w:trPr>
          <w:trHeight w:val="1403"/>
        </w:trPr>
        <w:tc>
          <w:tcPr>
            <w:tcW w:w="2004" w:type="dxa"/>
            <w:shd w:val="clear" w:color="auto" w:fill="E7E6E6"/>
          </w:tcPr>
          <w:p w14:paraId="12D9A889" w14:textId="77777777" w:rsidR="00513CFB" w:rsidRPr="009227B4" w:rsidRDefault="00513CFB">
            <w:pPr>
              <w:pStyle w:val="TableParagraph"/>
              <w:rPr>
                <w:rFonts w:ascii="Open Sans" w:hAnsi="Open Sans" w:cs="Open Sans"/>
                <w:b/>
                <w:bCs/>
              </w:rPr>
            </w:pPr>
          </w:p>
          <w:p w14:paraId="432341AC" w14:textId="77777777" w:rsidR="00513CFB" w:rsidRPr="009227B4" w:rsidRDefault="00513CFB">
            <w:pPr>
              <w:pStyle w:val="TableParagraph"/>
              <w:spacing w:before="38"/>
              <w:rPr>
                <w:rFonts w:ascii="Open Sans" w:hAnsi="Open Sans" w:cs="Open Sans"/>
                <w:b/>
                <w:bCs/>
              </w:rPr>
            </w:pPr>
          </w:p>
          <w:p w14:paraId="3A9B3C46" w14:textId="77777777" w:rsidR="00513CFB" w:rsidRPr="009227B4" w:rsidRDefault="00000000">
            <w:pPr>
              <w:pStyle w:val="TableParagraph"/>
              <w:spacing w:before="1"/>
              <w:ind w:left="112"/>
              <w:rPr>
                <w:rFonts w:ascii="Open Sans" w:hAnsi="Open Sans" w:cs="Open Sans"/>
                <w:b/>
                <w:bCs/>
              </w:rPr>
            </w:pPr>
            <w:r w:rsidRPr="009227B4">
              <w:rPr>
                <w:rFonts w:ascii="Open Sans" w:hAnsi="Open Sans" w:cs="Open Sans"/>
                <w:b/>
                <w:bCs/>
                <w:color w:val="003399"/>
              </w:rPr>
              <w:t>Project budget</w:t>
            </w:r>
          </w:p>
        </w:tc>
        <w:tc>
          <w:tcPr>
            <w:tcW w:w="8034" w:type="dxa"/>
          </w:tcPr>
          <w:p w14:paraId="70642CA2" w14:textId="77777777" w:rsidR="00513CFB" w:rsidRPr="009227B4" w:rsidRDefault="00000000">
            <w:pPr>
              <w:pStyle w:val="TableParagraph"/>
              <w:ind w:left="113"/>
              <w:rPr>
                <w:rFonts w:ascii="Open Sans" w:hAnsi="Open Sans" w:cs="Open Sans"/>
              </w:rPr>
            </w:pPr>
            <w:r w:rsidRPr="009227B4">
              <w:rPr>
                <w:rFonts w:ascii="Open Sans" w:hAnsi="Open Sans" w:cs="Open Sans"/>
                <w:color w:val="003399"/>
              </w:rPr>
              <w:t xml:space="preserve">Total </w:t>
            </w:r>
            <w:r w:rsidRPr="009227B4">
              <w:rPr>
                <w:rFonts w:ascii="Open Sans" w:hAnsi="Open Sans" w:cs="Open Sans"/>
                <w:b/>
                <w:color w:val="003399"/>
              </w:rPr>
              <w:t xml:space="preserve">12,841,586.99 </w:t>
            </w:r>
            <w:r w:rsidRPr="009227B4">
              <w:rPr>
                <w:rFonts w:ascii="Open Sans" w:hAnsi="Open Sans" w:cs="Open Sans"/>
                <w:color w:val="003399"/>
              </w:rPr>
              <w:t xml:space="preserve">EUR, out of which ERDF </w:t>
            </w:r>
            <w:r w:rsidRPr="009227B4">
              <w:rPr>
                <w:rFonts w:ascii="Open Sans" w:hAnsi="Open Sans" w:cs="Open Sans"/>
                <w:b/>
                <w:color w:val="003399"/>
              </w:rPr>
              <w:t xml:space="preserve">10,834,325.06 </w:t>
            </w:r>
            <w:r w:rsidRPr="009227B4">
              <w:rPr>
                <w:rFonts w:ascii="Open Sans" w:hAnsi="Open Sans" w:cs="Open Sans"/>
                <w:color w:val="003399"/>
              </w:rPr>
              <w:t>EUR</w:t>
            </w:r>
          </w:p>
          <w:p w14:paraId="4E112F92" w14:textId="77777777" w:rsidR="00513CFB" w:rsidRPr="009227B4" w:rsidRDefault="00000000">
            <w:pPr>
              <w:pStyle w:val="TableParagraph"/>
              <w:spacing w:before="24" w:line="290" w:lineRule="auto"/>
              <w:ind w:left="113" w:right="997"/>
              <w:rPr>
                <w:rFonts w:ascii="Open Sans" w:hAnsi="Open Sans" w:cs="Open Sans"/>
              </w:rPr>
            </w:pPr>
            <w:r w:rsidRPr="009227B4">
              <w:rPr>
                <w:rFonts w:ascii="Open Sans" w:hAnsi="Open Sans" w:cs="Open Sans"/>
                <w:color w:val="003399"/>
              </w:rPr>
              <w:t>LB: 496,610.97 EUR ERDF, 58,418.98 EUR national co-financing PP2: 9,030,223.88 EUR ERDF, 1,062,273.05 EUR national co-financing PP3: 1,307,490.21 EUR ERDF, 199,937.41 EUR national co-financing</w:t>
            </w:r>
          </w:p>
        </w:tc>
      </w:tr>
      <w:tr w:rsidR="00513CFB" w:rsidRPr="009227B4" w14:paraId="70DE34A8" w14:textId="77777777">
        <w:trPr>
          <w:trHeight w:val="1022"/>
        </w:trPr>
        <w:tc>
          <w:tcPr>
            <w:tcW w:w="2004" w:type="dxa"/>
            <w:shd w:val="clear" w:color="auto" w:fill="E7E6E6"/>
          </w:tcPr>
          <w:p w14:paraId="2DD4DD2A" w14:textId="77777777" w:rsidR="00513CFB" w:rsidRPr="009227B4" w:rsidRDefault="00513CFB">
            <w:pPr>
              <w:pStyle w:val="TableParagraph"/>
              <w:spacing w:before="99"/>
              <w:rPr>
                <w:rFonts w:ascii="Open Sans" w:hAnsi="Open Sans" w:cs="Open Sans"/>
                <w:b/>
                <w:bCs/>
              </w:rPr>
            </w:pPr>
          </w:p>
          <w:p w14:paraId="5A35700B" w14:textId="77777777" w:rsidR="00513CFB" w:rsidRPr="009227B4" w:rsidRDefault="00000000">
            <w:pPr>
              <w:pStyle w:val="TableParagraph"/>
              <w:spacing w:before="1"/>
              <w:ind w:left="112"/>
              <w:rPr>
                <w:rFonts w:ascii="Open Sans" w:hAnsi="Open Sans" w:cs="Open Sans"/>
                <w:b/>
                <w:bCs/>
              </w:rPr>
            </w:pPr>
            <w:r w:rsidRPr="009227B4">
              <w:rPr>
                <w:rFonts w:ascii="Open Sans" w:hAnsi="Open Sans" w:cs="Open Sans"/>
                <w:b/>
                <w:bCs/>
                <w:color w:val="003399"/>
              </w:rPr>
              <w:t>Objective</w:t>
            </w:r>
          </w:p>
        </w:tc>
        <w:tc>
          <w:tcPr>
            <w:tcW w:w="8034" w:type="dxa"/>
          </w:tcPr>
          <w:p w14:paraId="4F184364" w14:textId="15930161" w:rsidR="00513CFB" w:rsidRPr="009227B4" w:rsidRDefault="00000000">
            <w:pPr>
              <w:pStyle w:val="TableParagraph"/>
              <w:spacing w:before="12" w:line="290" w:lineRule="auto"/>
              <w:ind w:left="113" w:right="95"/>
              <w:jc w:val="both"/>
              <w:rPr>
                <w:rFonts w:ascii="Open Sans" w:hAnsi="Open Sans" w:cs="Open Sans"/>
              </w:rPr>
            </w:pPr>
            <w:r w:rsidRPr="009227B4">
              <w:rPr>
                <w:rFonts w:ascii="Open Sans" w:hAnsi="Open Sans" w:cs="Open Sans"/>
                <w:color w:val="003399"/>
              </w:rPr>
              <w:t>The CBC Incubator project aim</w:t>
            </w:r>
            <w:r w:rsidR="009227B4">
              <w:rPr>
                <w:rFonts w:ascii="Open Sans" w:hAnsi="Open Sans" w:cs="Open Sans"/>
                <w:color w:val="003399"/>
              </w:rPr>
              <w:t>ed</w:t>
            </w:r>
            <w:r w:rsidRPr="009227B4">
              <w:rPr>
                <w:rFonts w:ascii="Open Sans" w:hAnsi="Open Sans" w:cs="Open Sans"/>
                <w:color w:val="003399"/>
              </w:rPr>
              <w:t xml:space="preserve"> to establish a joint common space in the Romanian-Hungarian border area that connects cultural institutions, artists and cultural professionals, primarily in the field of theatre art.</w:t>
            </w:r>
          </w:p>
        </w:tc>
      </w:tr>
      <w:tr w:rsidR="00513CFB" w:rsidRPr="009227B4" w14:paraId="2613C976" w14:textId="77777777">
        <w:trPr>
          <w:trHeight w:val="779"/>
        </w:trPr>
        <w:tc>
          <w:tcPr>
            <w:tcW w:w="2004" w:type="dxa"/>
            <w:shd w:val="clear" w:color="auto" w:fill="E7E6E6"/>
          </w:tcPr>
          <w:p w14:paraId="17970F5D" w14:textId="77777777" w:rsidR="00513CFB" w:rsidRPr="009227B4" w:rsidRDefault="00000000">
            <w:pPr>
              <w:pStyle w:val="TableParagraph"/>
              <w:spacing w:before="86" w:line="232" w:lineRule="auto"/>
              <w:ind w:left="112"/>
              <w:rPr>
                <w:rFonts w:ascii="Open Sans" w:hAnsi="Open Sans" w:cs="Open Sans"/>
                <w:b/>
                <w:bCs/>
              </w:rPr>
            </w:pPr>
            <w:r w:rsidRPr="009227B4">
              <w:rPr>
                <w:rFonts w:ascii="Open Sans" w:hAnsi="Open Sans" w:cs="Open Sans"/>
                <w:b/>
                <w:bCs/>
                <w:color w:val="003399"/>
              </w:rPr>
              <w:t>Contribution to indicators</w:t>
            </w:r>
          </w:p>
        </w:tc>
        <w:tc>
          <w:tcPr>
            <w:tcW w:w="8034" w:type="dxa"/>
          </w:tcPr>
          <w:p w14:paraId="19351FDB" w14:textId="77777777" w:rsidR="00513CFB" w:rsidRPr="009227B4" w:rsidRDefault="00000000">
            <w:pPr>
              <w:pStyle w:val="TableParagraph"/>
              <w:spacing w:before="82" w:line="288" w:lineRule="auto"/>
              <w:ind w:left="113"/>
              <w:rPr>
                <w:rFonts w:ascii="Open Sans" w:hAnsi="Open Sans" w:cs="Open Sans"/>
              </w:rPr>
            </w:pPr>
            <w:r w:rsidRPr="009227B4">
              <w:rPr>
                <w:rFonts w:ascii="Open Sans" w:hAnsi="Open Sans" w:cs="Open Sans"/>
                <w:color w:val="003399"/>
              </w:rPr>
              <w:t>No. of visits to supported sites of cultural and natural heritage and attractions: 18,462</w:t>
            </w:r>
          </w:p>
        </w:tc>
      </w:tr>
      <w:tr w:rsidR="00513CFB" w:rsidRPr="009227B4" w14:paraId="68CBBCEE" w14:textId="77777777">
        <w:trPr>
          <w:trHeight w:val="4171"/>
        </w:trPr>
        <w:tc>
          <w:tcPr>
            <w:tcW w:w="2004" w:type="dxa"/>
            <w:shd w:val="clear" w:color="auto" w:fill="E7E6E6"/>
          </w:tcPr>
          <w:p w14:paraId="6024707C" w14:textId="77777777" w:rsidR="00513CFB" w:rsidRPr="009227B4" w:rsidRDefault="00513CFB">
            <w:pPr>
              <w:pStyle w:val="TableParagraph"/>
              <w:rPr>
                <w:rFonts w:ascii="Open Sans" w:hAnsi="Open Sans" w:cs="Open Sans"/>
                <w:b/>
                <w:bCs/>
              </w:rPr>
            </w:pPr>
          </w:p>
          <w:p w14:paraId="70FC1CDC" w14:textId="77777777" w:rsidR="00513CFB" w:rsidRPr="009227B4" w:rsidRDefault="00513CFB">
            <w:pPr>
              <w:pStyle w:val="TableParagraph"/>
              <w:rPr>
                <w:rFonts w:ascii="Open Sans" w:hAnsi="Open Sans" w:cs="Open Sans"/>
                <w:b/>
                <w:bCs/>
              </w:rPr>
            </w:pPr>
          </w:p>
          <w:p w14:paraId="12EC1FA2" w14:textId="77777777" w:rsidR="00513CFB" w:rsidRPr="009227B4" w:rsidRDefault="00513CFB">
            <w:pPr>
              <w:pStyle w:val="TableParagraph"/>
              <w:rPr>
                <w:rFonts w:ascii="Open Sans" w:hAnsi="Open Sans" w:cs="Open Sans"/>
                <w:b/>
                <w:bCs/>
              </w:rPr>
            </w:pPr>
          </w:p>
          <w:p w14:paraId="07863923" w14:textId="77777777" w:rsidR="00513CFB" w:rsidRPr="009227B4" w:rsidRDefault="00513CFB">
            <w:pPr>
              <w:pStyle w:val="TableParagraph"/>
              <w:rPr>
                <w:rFonts w:ascii="Open Sans" w:hAnsi="Open Sans" w:cs="Open Sans"/>
                <w:b/>
                <w:bCs/>
              </w:rPr>
            </w:pPr>
          </w:p>
          <w:p w14:paraId="434A986E" w14:textId="77777777" w:rsidR="00513CFB" w:rsidRPr="009227B4" w:rsidRDefault="00513CFB">
            <w:pPr>
              <w:pStyle w:val="TableParagraph"/>
              <w:rPr>
                <w:rFonts w:ascii="Open Sans" w:hAnsi="Open Sans" w:cs="Open Sans"/>
                <w:b/>
                <w:bCs/>
              </w:rPr>
            </w:pPr>
          </w:p>
          <w:p w14:paraId="1FC68DF4" w14:textId="77777777" w:rsidR="00513CFB" w:rsidRPr="009227B4" w:rsidRDefault="00513CFB">
            <w:pPr>
              <w:pStyle w:val="TableParagraph"/>
              <w:rPr>
                <w:rFonts w:ascii="Open Sans" w:hAnsi="Open Sans" w:cs="Open Sans"/>
                <w:b/>
                <w:bCs/>
              </w:rPr>
            </w:pPr>
          </w:p>
          <w:p w14:paraId="1F4082E3" w14:textId="77777777" w:rsidR="00513CFB" w:rsidRPr="009227B4" w:rsidRDefault="00513CFB">
            <w:pPr>
              <w:pStyle w:val="TableParagraph"/>
              <w:spacing w:before="154"/>
              <w:rPr>
                <w:rFonts w:ascii="Open Sans" w:hAnsi="Open Sans" w:cs="Open Sans"/>
                <w:b/>
                <w:bCs/>
              </w:rPr>
            </w:pPr>
          </w:p>
          <w:p w14:paraId="08EA0F9E" w14:textId="77777777" w:rsidR="00513CFB" w:rsidRPr="009227B4" w:rsidRDefault="00000000">
            <w:pPr>
              <w:pStyle w:val="TableParagraph"/>
              <w:ind w:left="112"/>
              <w:rPr>
                <w:rFonts w:ascii="Open Sans" w:hAnsi="Open Sans" w:cs="Open Sans"/>
                <w:b/>
                <w:bCs/>
              </w:rPr>
            </w:pPr>
            <w:r w:rsidRPr="009227B4">
              <w:rPr>
                <w:rFonts w:ascii="Open Sans" w:hAnsi="Open Sans" w:cs="Open Sans"/>
                <w:b/>
                <w:bCs/>
                <w:color w:val="003399"/>
              </w:rPr>
              <w:t>Summary</w:t>
            </w:r>
          </w:p>
        </w:tc>
        <w:tc>
          <w:tcPr>
            <w:tcW w:w="8034" w:type="dxa"/>
          </w:tcPr>
          <w:p w14:paraId="1665C903" w14:textId="77777777" w:rsidR="00513CFB" w:rsidRPr="00D733BD" w:rsidRDefault="00000000">
            <w:pPr>
              <w:pStyle w:val="TableParagraph"/>
              <w:spacing w:line="308" w:lineRule="exact"/>
              <w:ind w:left="113"/>
              <w:rPr>
                <w:rFonts w:ascii="Open Sans" w:hAnsi="Open Sans" w:cs="Open Sans"/>
                <w:b/>
                <w:bCs/>
              </w:rPr>
            </w:pPr>
            <w:r w:rsidRPr="00D733BD">
              <w:rPr>
                <w:rFonts w:ascii="Open Sans" w:hAnsi="Open Sans" w:cs="Open Sans"/>
                <w:b/>
                <w:bCs/>
                <w:color w:val="003399"/>
              </w:rPr>
              <w:t>Justification – common challenges:</w:t>
            </w:r>
          </w:p>
          <w:p w14:paraId="59DD3CCC" w14:textId="53D26699" w:rsidR="00513CFB" w:rsidRPr="009227B4" w:rsidRDefault="00000000">
            <w:pPr>
              <w:pStyle w:val="TableParagraph"/>
              <w:numPr>
                <w:ilvl w:val="0"/>
                <w:numId w:val="2"/>
              </w:numPr>
              <w:tabs>
                <w:tab w:val="left" w:pos="833"/>
              </w:tabs>
              <w:spacing w:before="27" w:line="285" w:lineRule="auto"/>
              <w:ind w:right="92"/>
              <w:jc w:val="both"/>
              <w:rPr>
                <w:rFonts w:ascii="Open Sans" w:hAnsi="Open Sans" w:cs="Open Sans"/>
              </w:rPr>
            </w:pPr>
            <w:r w:rsidRPr="009227B4">
              <w:rPr>
                <w:rFonts w:ascii="Open Sans" w:hAnsi="Open Sans" w:cs="Open Sans"/>
                <w:color w:val="003399"/>
              </w:rPr>
              <w:t xml:space="preserve">Lack </w:t>
            </w:r>
            <w:r w:rsidR="009227B4">
              <w:rPr>
                <w:rFonts w:ascii="Open Sans" w:hAnsi="Open Sans" w:cs="Open Sans"/>
                <w:color w:val="003399"/>
              </w:rPr>
              <w:t>of providing</w:t>
            </w:r>
            <w:r w:rsidRPr="009227B4">
              <w:rPr>
                <w:rFonts w:ascii="Open Sans" w:hAnsi="Open Sans" w:cs="Open Sans"/>
                <w:color w:val="003399"/>
              </w:rPr>
              <w:t xml:space="preserve"> appropriate infrastructural and professional background for protecting, developing and sharing common values of performing arts</w:t>
            </w:r>
            <w:r w:rsidR="009227B4">
              <w:rPr>
                <w:rFonts w:ascii="Open Sans" w:hAnsi="Open Sans" w:cs="Open Sans"/>
                <w:color w:val="003399"/>
              </w:rPr>
              <w:t>;</w:t>
            </w:r>
          </w:p>
          <w:p w14:paraId="17724D9B" w14:textId="091D3FC5" w:rsidR="00513CFB" w:rsidRPr="009227B4" w:rsidRDefault="009227B4">
            <w:pPr>
              <w:pStyle w:val="TableParagraph"/>
              <w:numPr>
                <w:ilvl w:val="0"/>
                <w:numId w:val="2"/>
              </w:numPr>
              <w:tabs>
                <w:tab w:val="left" w:pos="833"/>
              </w:tabs>
              <w:spacing w:before="6" w:line="283" w:lineRule="auto"/>
              <w:ind w:right="95"/>
              <w:jc w:val="both"/>
              <w:rPr>
                <w:rFonts w:ascii="Open Sans" w:hAnsi="Open Sans" w:cs="Open Sans"/>
              </w:rPr>
            </w:pPr>
            <w:r>
              <w:rPr>
                <w:rFonts w:ascii="Open Sans" w:hAnsi="Open Sans" w:cs="Open Sans"/>
                <w:color w:val="003399"/>
              </w:rPr>
              <w:t>L</w:t>
            </w:r>
            <w:r w:rsidR="00000000" w:rsidRPr="009227B4">
              <w:rPr>
                <w:rFonts w:ascii="Open Sans" w:hAnsi="Open Sans" w:cs="Open Sans"/>
                <w:color w:val="003399"/>
              </w:rPr>
              <w:t>imited level of interconnection between theatres operating in the border area.</w:t>
            </w:r>
          </w:p>
          <w:p w14:paraId="1717F194" w14:textId="77777777" w:rsidR="00513CFB" w:rsidRPr="009227B4" w:rsidRDefault="00513CFB">
            <w:pPr>
              <w:pStyle w:val="TableParagraph"/>
              <w:spacing w:before="52"/>
              <w:rPr>
                <w:rFonts w:ascii="Open Sans" w:hAnsi="Open Sans" w:cs="Open Sans"/>
              </w:rPr>
            </w:pPr>
          </w:p>
          <w:p w14:paraId="0C9B6C12" w14:textId="77777777" w:rsidR="00513CFB" w:rsidRPr="00D733BD" w:rsidRDefault="00000000">
            <w:pPr>
              <w:pStyle w:val="TableParagraph"/>
              <w:ind w:left="113"/>
              <w:rPr>
                <w:rFonts w:ascii="Open Sans" w:hAnsi="Open Sans" w:cs="Open Sans"/>
                <w:b/>
                <w:bCs/>
              </w:rPr>
            </w:pPr>
            <w:r w:rsidRPr="00D733BD">
              <w:rPr>
                <w:rFonts w:ascii="Open Sans" w:hAnsi="Open Sans" w:cs="Open Sans"/>
                <w:b/>
                <w:bCs/>
                <w:color w:val="003399"/>
              </w:rPr>
              <w:t>Project main activities:</w:t>
            </w:r>
          </w:p>
          <w:p w14:paraId="7489E2B9" w14:textId="78A58068" w:rsidR="00513CFB" w:rsidRPr="009227B4" w:rsidRDefault="00000000" w:rsidP="009227B4">
            <w:pPr>
              <w:pStyle w:val="TableParagraph"/>
              <w:numPr>
                <w:ilvl w:val="0"/>
                <w:numId w:val="2"/>
              </w:numPr>
              <w:tabs>
                <w:tab w:val="left" w:pos="833"/>
              </w:tabs>
              <w:spacing w:before="30" w:line="288" w:lineRule="auto"/>
              <w:ind w:right="90"/>
              <w:jc w:val="both"/>
              <w:rPr>
                <w:rFonts w:ascii="Open Sans" w:hAnsi="Open Sans" w:cs="Open Sans"/>
              </w:rPr>
            </w:pPr>
            <w:r w:rsidRPr="009227B4">
              <w:rPr>
                <w:rFonts w:ascii="Open Sans" w:hAnsi="Open Sans" w:cs="Open Sans"/>
                <w:color w:val="003399"/>
              </w:rPr>
              <w:t xml:space="preserve">Increasing by 18,462 the number of expected visits by creating a Romanian-Hungarian Cross-border Cultural Incubator for Performing Arts in Debrecen, </w:t>
            </w:r>
            <w:r w:rsidR="009227B4">
              <w:rPr>
                <w:rFonts w:ascii="Open Sans" w:hAnsi="Open Sans" w:cs="Open Sans"/>
                <w:color w:val="003399"/>
              </w:rPr>
              <w:t>modernizing the</w:t>
            </w:r>
            <w:r w:rsidRPr="009227B4">
              <w:rPr>
                <w:rFonts w:ascii="Open Sans" w:hAnsi="Open Sans" w:cs="Open Sans"/>
                <w:color w:val="003399"/>
              </w:rPr>
              <w:t xml:space="preserve"> theatre technology of </w:t>
            </w:r>
            <w:proofErr w:type="spellStart"/>
            <w:r w:rsidRPr="009227B4">
              <w:rPr>
                <w:rFonts w:ascii="Open Sans" w:hAnsi="Open Sans" w:cs="Open Sans"/>
                <w:color w:val="003399"/>
              </w:rPr>
              <w:t>Szigligeti</w:t>
            </w:r>
            <w:proofErr w:type="spellEnd"/>
            <w:r w:rsidRPr="009227B4">
              <w:rPr>
                <w:rFonts w:ascii="Open Sans" w:hAnsi="Open Sans" w:cs="Open Sans"/>
                <w:color w:val="003399"/>
              </w:rPr>
              <w:t xml:space="preserve"> Theatre, delivery of joint cross-border cultural activities coordinated by the</w:t>
            </w:r>
            <w:r w:rsidR="009227B4">
              <w:rPr>
                <w:rFonts w:ascii="Open Sans" w:hAnsi="Open Sans" w:cs="Open Sans"/>
                <w:color w:val="003399"/>
              </w:rPr>
              <w:t xml:space="preserve"> </w:t>
            </w:r>
            <w:r w:rsidRPr="009227B4">
              <w:rPr>
                <w:rFonts w:ascii="Open Sans" w:hAnsi="Open Sans" w:cs="Open Sans"/>
                <w:color w:val="003399"/>
              </w:rPr>
              <w:t>Csokonai Theatre in Debrecen.</w:t>
            </w:r>
          </w:p>
        </w:tc>
      </w:tr>
    </w:tbl>
    <w:p w14:paraId="6B1BDBB0" w14:textId="77777777" w:rsidR="00513CFB" w:rsidRDefault="00513CFB">
      <w:pPr>
        <w:pStyle w:val="TableParagraph"/>
        <w:jc w:val="both"/>
        <w:sectPr w:rsidR="00513CFB">
          <w:headerReference w:type="default" r:id="rId7"/>
          <w:footerReference w:type="default" r:id="rId8"/>
          <w:type w:val="continuous"/>
          <w:pgSz w:w="11920" w:h="16850"/>
          <w:pgMar w:top="2000" w:right="850" w:bottom="880" w:left="850" w:header="719" w:footer="699" w:gutter="0"/>
          <w:pgNumType w:start="1"/>
          <w:cols w:space="720"/>
        </w:sectPr>
      </w:pPr>
    </w:p>
    <w:p w14:paraId="26C7D7FD" w14:textId="77777777" w:rsidR="00513CFB" w:rsidRDefault="00513CFB">
      <w:pPr>
        <w:pStyle w:val="BodyText"/>
        <w:spacing w:before="2" w:after="1"/>
        <w:rPr>
          <w:rFonts w:ascii="Times New Roman"/>
          <w:sz w:val="9"/>
        </w:rPr>
      </w:pPr>
    </w:p>
    <w:tbl>
      <w:tblPr>
        <w:tblW w:w="0" w:type="auto"/>
        <w:tblInd w:w="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04"/>
        <w:gridCol w:w="8034"/>
      </w:tblGrid>
      <w:tr w:rsidR="00513CFB" w:rsidRPr="009227B4" w14:paraId="335EC753" w14:textId="77777777" w:rsidTr="00D733BD">
        <w:trPr>
          <w:trHeight w:val="888"/>
        </w:trPr>
        <w:tc>
          <w:tcPr>
            <w:tcW w:w="2004" w:type="dxa"/>
            <w:shd w:val="clear" w:color="auto" w:fill="E7E6E6"/>
          </w:tcPr>
          <w:p w14:paraId="5BB5D1DC" w14:textId="77777777" w:rsidR="00513CFB" w:rsidRPr="009227B4" w:rsidRDefault="00513CFB">
            <w:pPr>
              <w:pStyle w:val="TableParagraph"/>
              <w:rPr>
                <w:rFonts w:ascii="Open Sans" w:hAnsi="Open Sans" w:cs="Open Sans"/>
              </w:rPr>
            </w:pPr>
          </w:p>
          <w:p w14:paraId="6940D3AA" w14:textId="77777777" w:rsidR="00513CFB" w:rsidRPr="009227B4" w:rsidRDefault="00513CFB">
            <w:pPr>
              <w:pStyle w:val="TableParagraph"/>
              <w:rPr>
                <w:rFonts w:ascii="Open Sans" w:hAnsi="Open Sans" w:cs="Open Sans"/>
              </w:rPr>
            </w:pPr>
          </w:p>
          <w:p w14:paraId="77050C6D" w14:textId="77777777" w:rsidR="00513CFB" w:rsidRPr="009227B4" w:rsidRDefault="00513CFB">
            <w:pPr>
              <w:pStyle w:val="TableParagraph"/>
              <w:rPr>
                <w:rFonts w:ascii="Open Sans" w:hAnsi="Open Sans" w:cs="Open Sans"/>
              </w:rPr>
            </w:pPr>
          </w:p>
          <w:p w14:paraId="17BAB27A" w14:textId="77777777" w:rsidR="00513CFB" w:rsidRPr="009227B4" w:rsidRDefault="00513CFB">
            <w:pPr>
              <w:pStyle w:val="TableParagraph"/>
              <w:rPr>
                <w:rFonts w:ascii="Open Sans" w:hAnsi="Open Sans" w:cs="Open Sans"/>
              </w:rPr>
            </w:pPr>
          </w:p>
          <w:p w14:paraId="705DB5FA" w14:textId="77777777" w:rsidR="00513CFB" w:rsidRPr="009227B4" w:rsidRDefault="00513CFB">
            <w:pPr>
              <w:pStyle w:val="TableParagraph"/>
              <w:rPr>
                <w:rFonts w:ascii="Open Sans" w:hAnsi="Open Sans" w:cs="Open Sans"/>
              </w:rPr>
            </w:pPr>
          </w:p>
          <w:p w14:paraId="561B38D9" w14:textId="77777777" w:rsidR="00513CFB" w:rsidRPr="009227B4" w:rsidRDefault="00513CFB">
            <w:pPr>
              <w:pStyle w:val="TableParagraph"/>
              <w:rPr>
                <w:rFonts w:ascii="Open Sans" w:hAnsi="Open Sans" w:cs="Open Sans"/>
              </w:rPr>
            </w:pPr>
          </w:p>
          <w:p w14:paraId="6D60AE94" w14:textId="77777777" w:rsidR="00513CFB" w:rsidRPr="009227B4" w:rsidRDefault="00513CFB">
            <w:pPr>
              <w:pStyle w:val="TableParagraph"/>
              <w:rPr>
                <w:rFonts w:ascii="Open Sans" w:hAnsi="Open Sans" w:cs="Open Sans"/>
              </w:rPr>
            </w:pPr>
          </w:p>
          <w:p w14:paraId="31164420" w14:textId="77777777" w:rsidR="00513CFB" w:rsidRPr="009227B4" w:rsidRDefault="00513CFB">
            <w:pPr>
              <w:pStyle w:val="TableParagraph"/>
              <w:rPr>
                <w:rFonts w:ascii="Open Sans" w:hAnsi="Open Sans" w:cs="Open Sans"/>
              </w:rPr>
            </w:pPr>
          </w:p>
          <w:p w14:paraId="3E4049E1" w14:textId="77777777" w:rsidR="00513CFB" w:rsidRPr="009227B4" w:rsidRDefault="00513CFB">
            <w:pPr>
              <w:pStyle w:val="TableParagraph"/>
              <w:rPr>
                <w:rFonts w:ascii="Open Sans" w:hAnsi="Open Sans" w:cs="Open Sans"/>
              </w:rPr>
            </w:pPr>
          </w:p>
          <w:p w14:paraId="435F16CD" w14:textId="77777777" w:rsidR="00513CFB" w:rsidRPr="009227B4" w:rsidRDefault="00513CFB">
            <w:pPr>
              <w:pStyle w:val="TableParagraph"/>
              <w:rPr>
                <w:rFonts w:ascii="Open Sans" w:hAnsi="Open Sans" w:cs="Open Sans"/>
              </w:rPr>
            </w:pPr>
          </w:p>
          <w:p w14:paraId="31FA9D0D" w14:textId="77777777" w:rsidR="00513CFB" w:rsidRPr="009227B4" w:rsidRDefault="00513CFB">
            <w:pPr>
              <w:pStyle w:val="TableParagraph"/>
              <w:rPr>
                <w:rFonts w:ascii="Open Sans" w:hAnsi="Open Sans" w:cs="Open Sans"/>
              </w:rPr>
            </w:pPr>
          </w:p>
          <w:p w14:paraId="7667C8BF" w14:textId="77777777" w:rsidR="00513CFB" w:rsidRPr="009227B4" w:rsidRDefault="00513CFB">
            <w:pPr>
              <w:pStyle w:val="TableParagraph"/>
              <w:rPr>
                <w:rFonts w:ascii="Open Sans" w:hAnsi="Open Sans" w:cs="Open Sans"/>
              </w:rPr>
            </w:pPr>
          </w:p>
          <w:p w14:paraId="068D3D1A" w14:textId="77777777" w:rsidR="00513CFB" w:rsidRPr="009227B4" w:rsidRDefault="00513CFB">
            <w:pPr>
              <w:pStyle w:val="TableParagraph"/>
              <w:rPr>
                <w:rFonts w:ascii="Open Sans" w:hAnsi="Open Sans" w:cs="Open Sans"/>
              </w:rPr>
            </w:pPr>
          </w:p>
          <w:p w14:paraId="736DCFB4" w14:textId="77777777" w:rsidR="00513CFB" w:rsidRPr="009227B4" w:rsidRDefault="00513CFB">
            <w:pPr>
              <w:pStyle w:val="TableParagraph"/>
              <w:rPr>
                <w:rFonts w:ascii="Open Sans" w:hAnsi="Open Sans" w:cs="Open Sans"/>
              </w:rPr>
            </w:pPr>
          </w:p>
          <w:p w14:paraId="56C6349C" w14:textId="77777777" w:rsidR="00513CFB" w:rsidRPr="009227B4" w:rsidRDefault="00513CFB">
            <w:pPr>
              <w:pStyle w:val="TableParagraph"/>
              <w:rPr>
                <w:rFonts w:ascii="Open Sans" w:hAnsi="Open Sans" w:cs="Open Sans"/>
              </w:rPr>
            </w:pPr>
          </w:p>
          <w:p w14:paraId="0CDD2735" w14:textId="77777777" w:rsidR="00513CFB" w:rsidRPr="009227B4" w:rsidRDefault="00513CFB">
            <w:pPr>
              <w:pStyle w:val="TableParagraph"/>
              <w:rPr>
                <w:rFonts w:ascii="Open Sans" w:hAnsi="Open Sans" w:cs="Open Sans"/>
              </w:rPr>
            </w:pPr>
          </w:p>
          <w:p w14:paraId="1B35CA43" w14:textId="77777777" w:rsidR="00513CFB" w:rsidRPr="009227B4" w:rsidRDefault="00513CFB">
            <w:pPr>
              <w:pStyle w:val="TableParagraph"/>
              <w:rPr>
                <w:rFonts w:ascii="Open Sans" w:hAnsi="Open Sans" w:cs="Open Sans"/>
              </w:rPr>
            </w:pPr>
          </w:p>
          <w:p w14:paraId="799D340B" w14:textId="77777777" w:rsidR="00513CFB" w:rsidRPr="009227B4" w:rsidRDefault="00513CFB">
            <w:pPr>
              <w:pStyle w:val="TableParagraph"/>
              <w:rPr>
                <w:rFonts w:ascii="Open Sans" w:hAnsi="Open Sans" w:cs="Open Sans"/>
              </w:rPr>
            </w:pPr>
          </w:p>
          <w:p w14:paraId="1EE283AF" w14:textId="77777777" w:rsidR="00513CFB" w:rsidRPr="009227B4" w:rsidRDefault="00513CFB">
            <w:pPr>
              <w:pStyle w:val="TableParagraph"/>
              <w:spacing w:before="68"/>
              <w:rPr>
                <w:rFonts w:ascii="Open Sans" w:hAnsi="Open Sans" w:cs="Open Sans"/>
              </w:rPr>
            </w:pPr>
          </w:p>
          <w:p w14:paraId="72E28373" w14:textId="24639326" w:rsidR="00513CFB" w:rsidRPr="009227B4" w:rsidRDefault="00000000">
            <w:pPr>
              <w:pStyle w:val="TableParagraph"/>
              <w:ind w:left="112"/>
              <w:rPr>
                <w:rFonts w:ascii="Open Sans" w:hAnsi="Open Sans" w:cs="Open Sans"/>
                <w:b/>
                <w:bCs/>
              </w:rPr>
            </w:pPr>
            <w:r w:rsidRPr="009227B4">
              <w:rPr>
                <w:rFonts w:ascii="Open Sans" w:hAnsi="Open Sans" w:cs="Open Sans"/>
                <w:b/>
                <w:bCs/>
                <w:color w:val="003399"/>
              </w:rPr>
              <w:t xml:space="preserve">Main </w:t>
            </w:r>
            <w:r w:rsidR="00D733BD">
              <w:rPr>
                <w:rFonts w:ascii="Open Sans" w:hAnsi="Open Sans" w:cs="Open Sans"/>
                <w:b/>
                <w:bCs/>
                <w:color w:val="003399"/>
              </w:rPr>
              <w:t>outcomes</w:t>
            </w:r>
          </w:p>
        </w:tc>
        <w:tc>
          <w:tcPr>
            <w:tcW w:w="8034" w:type="dxa"/>
          </w:tcPr>
          <w:p w14:paraId="664B7FF1" w14:textId="192F0F70" w:rsidR="005E5D40" w:rsidRPr="005E5D40" w:rsidRDefault="005E5D40" w:rsidP="005E5D40">
            <w:pPr>
              <w:pStyle w:val="TableParagraph"/>
              <w:spacing w:before="12"/>
              <w:jc w:val="both"/>
              <w:rPr>
                <w:rFonts w:ascii="Open Sans" w:hAnsi="Open Sans" w:cs="Open Sans"/>
                <w:b/>
                <w:bCs/>
                <w:color w:val="003399"/>
              </w:rPr>
            </w:pPr>
            <w:r>
              <w:rPr>
                <w:rFonts w:ascii="Open Sans" w:hAnsi="Open Sans" w:cs="Open Sans"/>
                <w:b/>
                <w:bCs/>
                <w:color w:val="003399"/>
              </w:rPr>
              <w:t xml:space="preserve"> </w:t>
            </w:r>
            <w:r w:rsidRPr="005E5D40">
              <w:rPr>
                <w:rFonts w:ascii="Open Sans" w:hAnsi="Open Sans" w:cs="Open Sans"/>
                <w:b/>
                <w:bCs/>
                <w:color w:val="003399"/>
              </w:rPr>
              <w:t>The main deliverables:</w:t>
            </w:r>
          </w:p>
          <w:p w14:paraId="78E9D0C5" w14:textId="77777777" w:rsidR="00D733BD" w:rsidRPr="00D733BD" w:rsidRDefault="00D733BD" w:rsidP="00D733BD">
            <w:pPr>
              <w:pStyle w:val="TableParagraph"/>
              <w:spacing w:line="308" w:lineRule="exact"/>
              <w:ind w:left="113"/>
              <w:rPr>
                <w:rFonts w:ascii="Open Sans" w:hAnsi="Open Sans" w:cs="Open Sans"/>
                <w:color w:val="003399"/>
                <w:lang w:val="en-GB"/>
              </w:rPr>
            </w:pPr>
            <w:r w:rsidRPr="00D733BD">
              <w:rPr>
                <w:rFonts w:ascii="Open Sans" w:hAnsi="Open Sans" w:cs="Open Sans"/>
                <w:color w:val="003399"/>
                <w:lang w:val="en-GB"/>
              </w:rPr>
              <w:t>1) 6 theoretical training programmes, 16 exchanged performances, 1 archive of performances, 7 “Actors and their languages” workshops, 15 translation workshops, two „2 countries – 2 theatre cultures” conference, one interactive exhibition, 8 acting workshops</w:t>
            </w:r>
          </w:p>
          <w:p w14:paraId="3CFB1339" w14:textId="77777777" w:rsidR="00D733BD" w:rsidRPr="00D733BD" w:rsidRDefault="00D733BD" w:rsidP="00D733BD">
            <w:pPr>
              <w:pStyle w:val="TableParagraph"/>
              <w:spacing w:line="308" w:lineRule="exact"/>
              <w:ind w:left="113"/>
              <w:rPr>
                <w:rFonts w:ascii="Open Sans" w:hAnsi="Open Sans" w:cs="Open Sans"/>
                <w:color w:val="003399"/>
                <w:lang w:val="en-GB"/>
              </w:rPr>
            </w:pPr>
            <w:r w:rsidRPr="00D733BD">
              <w:rPr>
                <w:rFonts w:ascii="Open Sans" w:hAnsi="Open Sans" w:cs="Open Sans"/>
                <w:color w:val="003399"/>
                <w:lang w:val="en-GB"/>
              </w:rPr>
              <w:t xml:space="preserve">2) Complex development of the </w:t>
            </w:r>
            <w:proofErr w:type="spellStart"/>
            <w:r w:rsidRPr="00D733BD">
              <w:rPr>
                <w:rFonts w:ascii="Open Sans" w:hAnsi="Open Sans" w:cs="Open Sans"/>
                <w:color w:val="003399"/>
                <w:lang w:val="en-GB"/>
              </w:rPr>
              <w:t>Szigligeti</w:t>
            </w:r>
            <w:proofErr w:type="spellEnd"/>
            <w:r w:rsidRPr="00D733BD">
              <w:rPr>
                <w:rFonts w:ascii="Open Sans" w:hAnsi="Open Sans" w:cs="Open Sans"/>
                <w:color w:val="003399"/>
                <w:lang w:val="en-GB"/>
              </w:rPr>
              <w:t xml:space="preserve"> Theatre in Oradea (reconstruction of stage infrastructure, machinery, technological and functional systems, fire protection infrastructure). </w:t>
            </w:r>
          </w:p>
          <w:p w14:paraId="071D3CB7" w14:textId="77777777" w:rsidR="00D733BD" w:rsidRPr="00D733BD" w:rsidRDefault="00D733BD" w:rsidP="00D733BD">
            <w:pPr>
              <w:pStyle w:val="TableParagraph"/>
              <w:spacing w:line="308" w:lineRule="exact"/>
              <w:ind w:left="113"/>
              <w:rPr>
                <w:rFonts w:ascii="Open Sans" w:hAnsi="Open Sans" w:cs="Open Sans"/>
                <w:color w:val="003399"/>
                <w:lang w:val="en-GB"/>
              </w:rPr>
            </w:pPr>
            <w:r w:rsidRPr="00D733BD">
              <w:rPr>
                <w:rFonts w:ascii="Open Sans" w:hAnsi="Open Sans" w:cs="Open Sans"/>
                <w:color w:val="003399"/>
                <w:lang w:val="en-GB"/>
              </w:rPr>
              <w:t>3) Series of online events organized by Csokonai Theatre</w:t>
            </w:r>
          </w:p>
          <w:p w14:paraId="07AEE524" w14:textId="77777777" w:rsidR="00D733BD" w:rsidRPr="00D733BD" w:rsidRDefault="00D733BD" w:rsidP="00D733BD">
            <w:pPr>
              <w:pStyle w:val="TableParagraph"/>
              <w:spacing w:line="308" w:lineRule="exact"/>
              <w:ind w:left="113"/>
              <w:rPr>
                <w:rFonts w:ascii="Open Sans" w:hAnsi="Open Sans" w:cs="Open Sans"/>
                <w:b/>
                <w:bCs/>
                <w:color w:val="003399"/>
                <w:lang w:val="en-GB"/>
              </w:rPr>
            </w:pPr>
            <w:r w:rsidRPr="00D733BD">
              <w:rPr>
                <w:rFonts w:ascii="Open Sans" w:hAnsi="Open Sans" w:cs="Open Sans"/>
                <w:color w:val="003399"/>
                <w:lang w:val="en-GB"/>
              </w:rPr>
              <w:t>4) Newly created Romanian-Hungarian Cross-border Cultural Incubator for Performing Arts in Debrecen (a multifunctional cultural institution with variable and flexible stage technology)</w:t>
            </w:r>
          </w:p>
          <w:p w14:paraId="305421A9" w14:textId="77777777" w:rsidR="00D733BD" w:rsidRDefault="00D733BD">
            <w:pPr>
              <w:pStyle w:val="TableParagraph"/>
              <w:spacing w:line="308" w:lineRule="exact"/>
              <w:ind w:left="113"/>
              <w:rPr>
                <w:rFonts w:ascii="Open Sans" w:hAnsi="Open Sans" w:cs="Open Sans"/>
                <w:b/>
                <w:bCs/>
                <w:color w:val="003399"/>
              </w:rPr>
            </w:pPr>
          </w:p>
          <w:p w14:paraId="76D9B96D" w14:textId="6F2FF2B7" w:rsidR="00513CFB" w:rsidRPr="009227B4" w:rsidRDefault="00000000">
            <w:pPr>
              <w:pStyle w:val="TableParagraph"/>
              <w:spacing w:line="308" w:lineRule="exact"/>
              <w:ind w:left="113"/>
              <w:rPr>
                <w:rFonts w:ascii="Open Sans" w:hAnsi="Open Sans" w:cs="Open Sans"/>
                <w:b/>
                <w:bCs/>
              </w:rPr>
            </w:pPr>
            <w:r w:rsidRPr="009227B4">
              <w:rPr>
                <w:rFonts w:ascii="Open Sans" w:hAnsi="Open Sans" w:cs="Open Sans"/>
                <w:b/>
                <w:bCs/>
                <w:color w:val="003399"/>
              </w:rPr>
              <w:t>Investments</w:t>
            </w:r>
          </w:p>
          <w:p w14:paraId="19AB851C" w14:textId="5A67020F" w:rsidR="00513CFB" w:rsidRPr="009227B4" w:rsidRDefault="00000000">
            <w:pPr>
              <w:pStyle w:val="TableParagraph"/>
              <w:numPr>
                <w:ilvl w:val="0"/>
                <w:numId w:val="1"/>
              </w:numPr>
              <w:tabs>
                <w:tab w:val="left" w:pos="823"/>
                <w:tab w:val="left" w:pos="826"/>
              </w:tabs>
              <w:spacing w:before="4" w:line="280" w:lineRule="auto"/>
              <w:ind w:right="78" w:hanging="356"/>
              <w:rPr>
                <w:rFonts w:ascii="Open Sans" w:hAnsi="Open Sans" w:cs="Open Sans"/>
              </w:rPr>
            </w:pPr>
            <w:r w:rsidRPr="009227B4">
              <w:rPr>
                <w:rFonts w:ascii="Open Sans" w:hAnsi="Open Sans" w:cs="Open Sans"/>
                <w:color w:val="003399"/>
              </w:rPr>
              <w:t>Municipality of Debrecen (PP2): establish</w:t>
            </w:r>
            <w:r w:rsidR="009227B4" w:rsidRPr="009227B4">
              <w:rPr>
                <w:rFonts w:ascii="Open Sans" w:hAnsi="Open Sans" w:cs="Open Sans"/>
                <w:color w:val="003399"/>
              </w:rPr>
              <w:t>ed</w:t>
            </w:r>
            <w:r w:rsidRPr="009227B4">
              <w:rPr>
                <w:rFonts w:ascii="Open Sans" w:hAnsi="Open Sans" w:cs="Open Sans"/>
                <w:color w:val="003399"/>
              </w:rPr>
              <w:t xml:space="preserve"> the new Romanian- Hungarian Cross-border Cultural Incubator for Performing Arts, by demolition/reconstruction and building works, according to its function of multifunctional cultural institution and the endowment with stage technology systems (revolving stage and overhead stage machinery, modern effect lighting and audio system), elevators, utility systems, interior fixed furniture etc. The core function of the building (4796.22 sqm at 8 levels) </w:t>
            </w:r>
            <w:r w:rsidR="009227B4">
              <w:rPr>
                <w:rFonts w:ascii="Open Sans" w:hAnsi="Open Sans" w:cs="Open Sans"/>
                <w:color w:val="003399"/>
              </w:rPr>
              <w:t>is</w:t>
            </w:r>
            <w:r w:rsidRPr="009227B4">
              <w:rPr>
                <w:rFonts w:ascii="Open Sans" w:hAnsi="Open Sans" w:cs="Open Sans"/>
                <w:color w:val="003399"/>
              </w:rPr>
              <w:t xml:space="preserve"> ensured by the main stage</w:t>
            </w:r>
            <w:r w:rsidR="009227B4">
              <w:rPr>
                <w:rFonts w:ascii="Open Sans" w:hAnsi="Open Sans" w:cs="Open Sans"/>
                <w:color w:val="003399"/>
              </w:rPr>
              <w:t>,</w:t>
            </w:r>
            <w:r w:rsidRPr="009227B4">
              <w:rPr>
                <w:rFonts w:ascii="Open Sans" w:hAnsi="Open Sans" w:cs="Open Sans"/>
                <w:color w:val="003399"/>
              </w:rPr>
              <w:t xml:space="preserve"> including an auditorium for 350 audiences, thus creating a special arena-like space, making the hall ideal for staging musical plays. The value of the investment: 5 million euros.</w:t>
            </w:r>
          </w:p>
          <w:p w14:paraId="641E360C" w14:textId="5AE3BECF" w:rsidR="00513CFB" w:rsidRPr="009227B4" w:rsidRDefault="00000000">
            <w:pPr>
              <w:pStyle w:val="TableParagraph"/>
              <w:numPr>
                <w:ilvl w:val="0"/>
                <w:numId w:val="1"/>
              </w:numPr>
              <w:tabs>
                <w:tab w:val="left" w:pos="823"/>
              </w:tabs>
              <w:spacing w:line="271" w:lineRule="exact"/>
              <w:ind w:left="823" w:hanging="353"/>
              <w:rPr>
                <w:rFonts w:ascii="Open Sans" w:hAnsi="Open Sans" w:cs="Open Sans"/>
              </w:rPr>
            </w:pPr>
            <w:proofErr w:type="spellStart"/>
            <w:r w:rsidRPr="009227B4">
              <w:rPr>
                <w:rFonts w:ascii="Open Sans" w:hAnsi="Open Sans" w:cs="Open Sans"/>
                <w:color w:val="003399"/>
              </w:rPr>
              <w:t>Szigligeti</w:t>
            </w:r>
            <w:proofErr w:type="spellEnd"/>
            <w:r w:rsidRPr="009227B4">
              <w:rPr>
                <w:rFonts w:ascii="Open Sans" w:hAnsi="Open Sans" w:cs="Open Sans"/>
                <w:color w:val="003399"/>
              </w:rPr>
              <w:t xml:space="preserve"> Theatre (PP3) aim</w:t>
            </w:r>
            <w:r w:rsidR="00E57C95">
              <w:rPr>
                <w:rFonts w:ascii="Open Sans" w:hAnsi="Open Sans" w:cs="Open Sans"/>
                <w:color w:val="003399"/>
              </w:rPr>
              <w:t>ed</w:t>
            </w:r>
            <w:r w:rsidRPr="009227B4">
              <w:rPr>
                <w:rFonts w:ascii="Open Sans" w:hAnsi="Open Sans" w:cs="Open Sans"/>
                <w:color w:val="003399"/>
              </w:rPr>
              <w:t xml:space="preserve"> the infrastructural development of the</w:t>
            </w:r>
          </w:p>
          <w:p w14:paraId="518CB415" w14:textId="40BB3075" w:rsidR="00513CFB" w:rsidRPr="009227B4" w:rsidRDefault="00000000" w:rsidP="00E57C95">
            <w:pPr>
              <w:pStyle w:val="TableParagraph"/>
              <w:spacing w:line="285" w:lineRule="auto"/>
              <w:ind w:left="826" w:right="73"/>
              <w:jc w:val="both"/>
              <w:rPr>
                <w:rFonts w:ascii="Open Sans" w:hAnsi="Open Sans" w:cs="Open Sans"/>
              </w:rPr>
            </w:pPr>
            <w:r w:rsidRPr="009227B4">
              <w:rPr>
                <w:rFonts w:ascii="Open Sans" w:hAnsi="Open Sans" w:cs="Open Sans"/>
                <w:color w:val="003399"/>
              </w:rPr>
              <w:t xml:space="preserve">stage space and stage technology of the Oradea State Theatre, which provides a venue for </w:t>
            </w:r>
            <w:proofErr w:type="spellStart"/>
            <w:r w:rsidRPr="009227B4">
              <w:rPr>
                <w:rFonts w:ascii="Open Sans" w:hAnsi="Open Sans" w:cs="Open Sans"/>
                <w:color w:val="003399"/>
              </w:rPr>
              <w:t>Szigligeti</w:t>
            </w:r>
            <w:proofErr w:type="spellEnd"/>
            <w:r w:rsidRPr="009227B4">
              <w:rPr>
                <w:rFonts w:ascii="Open Sans" w:hAnsi="Open Sans" w:cs="Open Sans"/>
                <w:color w:val="003399"/>
              </w:rPr>
              <w:t xml:space="preserve"> Theatre company. The complex development ensures greater flexibility for cultural performances and comprises the reconstruction of stage infrastructure including renovation of stage basement and floor as well as the electrical and plumbing installation, assembly of machinery, technological and functional systems including revolving stage, battens for stage lighting, stage lighting, curtain control and audio-visual stage</w:t>
            </w:r>
            <w:r w:rsidR="00E57C95">
              <w:rPr>
                <w:rFonts w:ascii="Open Sans" w:hAnsi="Open Sans" w:cs="Open Sans"/>
                <w:color w:val="003399"/>
              </w:rPr>
              <w:t xml:space="preserve"> </w:t>
            </w:r>
            <w:r w:rsidRPr="009227B4">
              <w:rPr>
                <w:rFonts w:ascii="Open Sans" w:hAnsi="Open Sans" w:cs="Open Sans"/>
                <w:color w:val="003399"/>
              </w:rPr>
              <w:t>management systems. Total value of the investment: 1.02 million euros.</w:t>
            </w:r>
          </w:p>
          <w:p w14:paraId="1DE57B4C" w14:textId="77777777" w:rsidR="00513CFB" w:rsidRPr="009227B4" w:rsidRDefault="00513CFB">
            <w:pPr>
              <w:pStyle w:val="TableParagraph"/>
              <w:spacing w:before="47"/>
              <w:rPr>
                <w:rFonts w:ascii="Open Sans" w:hAnsi="Open Sans" w:cs="Open Sans"/>
              </w:rPr>
            </w:pPr>
          </w:p>
          <w:p w14:paraId="67CDF596" w14:textId="77777777" w:rsidR="00513CFB" w:rsidRDefault="00000000">
            <w:pPr>
              <w:pStyle w:val="TableParagraph"/>
              <w:spacing w:before="1" w:line="247" w:lineRule="auto"/>
              <w:ind w:left="113" w:right="82"/>
              <w:jc w:val="both"/>
              <w:rPr>
                <w:rFonts w:ascii="Open Sans" w:hAnsi="Open Sans" w:cs="Open Sans"/>
                <w:color w:val="003399"/>
              </w:rPr>
            </w:pPr>
            <w:r w:rsidRPr="009227B4">
              <w:rPr>
                <w:rFonts w:ascii="Open Sans" w:hAnsi="Open Sans" w:cs="Open Sans"/>
                <w:color w:val="003399"/>
              </w:rPr>
              <w:t>The three partners cooperate</w:t>
            </w:r>
            <w:r w:rsidR="00E57C95">
              <w:rPr>
                <w:rFonts w:ascii="Open Sans" w:hAnsi="Open Sans" w:cs="Open Sans"/>
                <w:color w:val="003399"/>
              </w:rPr>
              <w:t>d</w:t>
            </w:r>
            <w:r w:rsidRPr="009227B4">
              <w:rPr>
                <w:rFonts w:ascii="Open Sans" w:hAnsi="Open Sans" w:cs="Open Sans"/>
                <w:color w:val="003399"/>
              </w:rPr>
              <w:t xml:space="preserve"> to create a sustainable RO-HU cultural network, focused particularly on the theatre cultures, by supporting amateur theatres </w:t>
            </w:r>
            <w:r w:rsidR="00E57C95">
              <w:rPr>
                <w:rFonts w:ascii="Open Sans" w:hAnsi="Open Sans" w:cs="Open Sans"/>
                <w:color w:val="003399"/>
              </w:rPr>
              <w:t>through</w:t>
            </w:r>
            <w:r w:rsidRPr="009227B4">
              <w:rPr>
                <w:rFonts w:ascii="Open Sans" w:hAnsi="Open Sans" w:cs="Open Sans"/>
                <w:color w:val="003399"/>
              </w:rPr>
              <w:t xml:space="preserve"> </w:t>
            </w:r>
            <w:proofErr w:type="spellStart"/>
            <w:r w:rsidRPr="009227B4">
              <w:rPr>
                <w:rFonts w:ascii="Open Sans" w:hAnsi="Open Sans" w:cs="Open Sans"/>
                <w:color w:val="003399"/>
              </w:rPr>
              <w:t>organising</w:t>
            </w:r>
            <w:proofErr w:type="spellEnd"/>
            <w:r w:rsidRPr="009227B4">
              <w:rPr>
                <w:rFonts w:ascii="Open Sans" w:hAnsi="Open Sans" w:cs="Open Sans"/>
                <w:color w:val="003399"/>
              </w:rPr>
              <w:t xml:space="preserve"> 14 workshops, a series of 16 </w:t>
            </w:r>
            <w:r w:rsidR="00E57C95">
              <w:rPr>
                <w:rFonts w:ascii="Open Sans" w:hAnsi="Open Sans" w:cs="Open Sans"/>
                <w:color w:val="003399"/>
              </w:rPr>
              <w:t>performances exchanged</w:t>
            </w:r>
            <w:r w:rsidRPr="009227B4">
              <w:rPr>
                <w:rFonts w:ascii="Open Sans" w:hAnsi="Open Sans" w:cs="Open Sans"/>
                <w:color w:val="003399"/>
              </w:rPr>
              <w:t xml:space="preserve"> with the participation of different theatres from </w:t>
            </w:r>
            <w:r w:rsidRPr="009227B4">
              <w:rPr>
                <w:rFonts w:ascii="Open Sans" w:hAnsi="Open Sans" w:cs="Open Sans"/>
                <w:color w:val="003399"/>
              </w:rPr>
              <w:lastRenderedPageBreak/>
              <w:t>the Romanian-Hungarian border area, establishing a theatre archive and creating an interactive exhibition of theatre cultures, organizing 7 actors and 15 translation workshops. Total value: 0.48 million euros.</w:t>
            </w:r>
          </w:p>
          <w:p w14:paraId="4293C60F" w14:textId="77777777" w:rsidR="00D733BD" w:rsidRDefault="00D733BD" w:rsidP="00D733BD">
            <w:pPr>
              <w:pStyle w:val="TableParagraph"/>
              <w:spacing w:before="1" w:line="247" w:lineRule="auto"/>
              <w:ind w:left="113" w:right="82"/>
              <w:jc w:val="both"/>
              <w:rPr>
                <w:rFonts w:ascii="Open Sans" w:hAnsi="Open Sans" w:cs="Open Sans"/>
                <w:lang w:val="en-GB"/>
              </w:rPr>
            </w:pPr>
          </w:p>
          <w:p w14:paraId="3BC7D6D0" w14:textId="1AE78EFF" w:rsidR="005E5D40" w:rsidRPr="005E5D40" w:rsidRDefault="005E5D40" w:rsidP="005E5D40">
            <w:pPr>
              <w:pStyle w:val="TableParagraph"/>
              <w:spacing w:before="12"/>
              <w:jc w:val="both"/>
              <w:rPr>
                <w:rFonts w:ascii="Open Sans" w:hAnsi="Open Sans" w:cs="Open Sans"/>
                <w:b/>
                <w:bCs/>
                <w:color w:val="003399"/>
              </w:rPr>
            </w:pPr>
            <w:r>
              <w:rPr>
                <w:rFonts w:ascii="Open Sans" w:hAnsi="Open Sans" w:cs="Open Sans"/>
                <w:b/>
                <w:bCs/>
                <w:color w:val="001F5F"/>
              </w:rPr>
              <w:t xml:space="preserve"> </w:t>
            </w:r>
            <w:r w:rsidRPr="005E5D40">
              <w:rPr>
                <w:rFonts w:ascii="Open Sans" w:hAnsi="Open Sans" w:cs="Open Sans"/>
                <w:b/>
                <w:bCs/>
                <w:color w:val="003399"/>
              </w:rPr>
              <w:t>The main results:</w:t>
            </w:r>
          </w:p>
          <w:p w14:paraId="00B2E65D" w14:textId="0F336AC5" w:rsidR="00D733BD" w:rsidRPr="00D733BD" w:rsidRDefault="00D733BD" w:rsidP="00D733BD">
            <w:pPr>
              <w:pStyle w:val="TableParagraph"/>
              <w:spacing w:before="1" w:line="247" w:lineRule="auto"/>
              <w:ind w:left="113" w:right="82"/>
              <w:jc w:val="both"/>
              <w:rPr>
                <w:rFonts w:ascii="Open Sans" w:hAnsi="Open Sans" w:cs="Open Sans"/>
                <w:color w:val="003399"/>
              </w:rPr>
            </w:pPr>
            <w:r w:rsidRPr="00D733BD">
              <w:rPr>
                <w:rFonts w:ascii="Open Sans" w:hAnsi="Open Sans" w:cs="Open Sans"/>
                <w:color w:val="003399"/>
              </w:rPr>
              <w:t>1) Improved conditions for sharing, creating, protecting and promoting the common cultural values</w:t>
            </w:r>
          </w:p>
          <w:p w14:paraId="6A3C33BB" w14:textId="77777777" w:rsidR="00D733BD" w:rsidRPr="00D733BD" w:rsidRDefault="00D733BD" w:rsidP="00D733BD">
            <w:pPr>
              <w:pStyle w:val="TableParagraph"/>
              <w:spacing w:before="1" w:line="247" w:lineRule="auto"/>
              <w:ind w:left="113" w:right="82"/>
              <w:jc w:val="both"/>
              <w:rPr>
                <w:rFonts w:ascii="Open Sans" w:hAnsi="Open Sans" w:cs="Open Sans"/>
                <w:color w:val="003399"/>
              </w:rPr>
            </w:pPr>
            <w:r w:rsidRPr="00D733BD">
              <w:rPr>
                <w:rFonts w:ascii="Open Sans" w:hAnsi="Open Sans" w:cs="Open Sans"/>
                <w:color w:val="003399"/>
              </w:rPr>
              <w:t>2) Increased cultural mobility in the eligible area</w:t>
            </w:r>
          </w:p>
          <w:p w14:paraId="229984BF" w14:textId="77777777" w:rsidR="00D733BD" w:rsidRPr="00D733BD" w:rsidRDefault="00D733BD" w:rsidP="00D733BD">
            <w:pPr>
              <w:pStyle w:val="TableParagraph"/>
              <w:spacing w:before="1" w:line="247" w:lineRule="auto"/>
              <w:ind w:left="113" w:right="82"/>
              <w:jc w:val="both"/>
              <w:rPr>
                <w:rFonts w:ascii="Open Sans" w:hAnsi="Open Sans" w:cs="Open Sans"/>
                <w:color w:val="003399"/>
              </w:rPr>
            </w:pPr>
            <w:r w:rsidRPr="00D733BD">
              <w:rPr>
                <w:rFonts w:ascii="Open Sans" w:hAnsi="Open Sans" w:cs="Open Sans"/>
                <w:color w:val="003399"/>
              </w:rPr>
              <w:t>3) Greater flexibility for cultural performances</w:t>
            </w:r>
          </w:p>
          <w:p w14:paraId="76866355" w14:textId="77777777" w:rsidR="00D733BD" w:rsidRPr="00D733BD" w:rsidRDefault="00D733BD" w:rsidP="00D733BD">
            <w:pPr>
              <w:pStyle w:val="TableParagraph"/>
              <w:spacing w:before="1" w:line="247" w:lineRule="auto"/>
              <w:ind w:left="113" w:right="82"/>
              <w:jc w:val="both"/>
              <w:rPr>
                <w:rFonts w:ascii="Open Sans" w:hAnsi="Open Sans" w:cs="Open Sans"/>
                <w:color w:val="003399"/>
              </w:rPr>
            </w:pPr>
            <w:r w:rsidRPr="00D733BD">
              <w:rPr>
                <w:rFonts w:ascii="Open Sans" w:hAnsi="Open Sans" w:cs="Open Sans"/>
                <w:color w:val="003399"/>
              </w:rPr>
              <w:t>4) Higher tourist attractiveness of the Romanian-Hungarian Cross-Border area</w:t>
            </w:r>
          </w:p>
          <w:p w14:paraId="1C9DACD1" w14:textId="77777777" w:rsidR="00D733BD" w:rsidRPr="00D733BD" w:rsidRDefault="00D733BD" w:rsidP="00D733BD">
            <w:pPr>
              <w:pStyle w:val="TableParagraph"/>
              <w:spacing w:before="1" w:line="247" w:lineRule="auto"/>
              <w:ind w:left="113" w:right="82"/>
              <w:jc w:val="both"/>
              <w:rPr>
                <w:rFonts w:ascii="Open Sans" w:hAnsi="Open Sans" w:cs="Open Sans"/>
                <w:color w:val="003399"/>
              </w:rPr>
            </w:pPr>
            <w:r w:rsidRPr="00D733BD">
              <w:rPr>
                <w:rFonts w:ascii="Open Sans" w:hAnsi="Open Sans" w:cs="Open Sans"/>
                <w:color w:val="003399"/>
              </w:rPr>
              <w:t xml:space="preserve">5) A strengthened link between cultural organizations/professionals, which will contribute to promote the cultural </w:t>
            </w:r>
            <w:proofErr w:type="gramStart"/>
            <w:r w:rsidRPr="00D733BD">
              <w:rPr>
                <w:rFonts w:ascii="Open Sans" w:hAnsi="Open Sans" w:cs="Open Sans"/>
                <w:color w:val="003399"/>
              </w:rPr>
              <w:t>diversity ,</w:t>
            </w:r>
            <w:proofErr w:type="gramEnd"/>
            <w:r w:rsidRPr="00D733BD">
              <w:rPr>
                <w:rFonts w:ascii="Open Sans" w:hAnsi="Open Sans" w:cs="Open Sans"/>
                <w:color w:val="003399"/>
              </w:rPr>
              <w:t xml:space="preserve"> intercultural dialogue, will stimulate creativity and will contribute to the </w:t>
            </w:r>
            <w:proofErr w:type="spellStart"/>
            <w:r w:rsidRPr="00D733BD">
              <w:rPr>
                <w:rFonts w:ascii="Open Sans" w:hAnsi="Open Sans" w:cs="Open Sans"/>
                <w:color w:val="003399"/>
              </w:rPr>
              <w:t>enrichement</w:t>
            </w:r>
            <w:proofErr w:type="spellEnd"/>
            <w:r w:rsidRPr="00D733BD">
              <w:rPr>
                <w:rFonts w:ascii="Open Sans" w:hAnsi="Open Sans" w:cs="Open Sans"/>
                <w:color w:val="003399"/>
              </w:rPr>
              <w:t xml:space="preserve"> of both cultures (RO and HU).</w:t>
            </w:r>
          </w:p>
          <w:p w14:paraId="47A3EEDD" w14:textId="77777777" w:rsidR="00D733BD" w:rsidRDefault="00D733BD">
            <w:pPr>
              <w:pStyle w:val="TableParagraph"/>
              <w:spacing w:before="1" w:line="247" w:lineRule="auto"/>
              <w:ind w:left="113" w:right="82"/>
              <w:jc w:val="both"/>
              <w:rPr>
                <w:rFonts w:ascii="Open Sans" w:hAnsi="Open Sans" w:cs="Open Sans"/>
              </w:rPr>
            </w:pPr>
          </w:p>
          <w:p w14:paraId="7B48031E" w14:textId="4D193489" w:rsidR="000A5A31" w:rsidRPr="000A5A31" w:rsidRDefault="000A5A31">
            <w:pPr>
              <w:pStyle w:val="TableParagraph"/>
              <w:spacing w:before="1" w:line="247" w:lineRule="auto"/>
              <w:ind w:left="113" w:right="82"/>
              <w:jc w:val="both"/>
              <w:rPr>
                <w:rFonts w:ascii="Open Sans" w:hAnsi="Open Sans" w:cs="Open Sans"/>
                <w:b/>
                <w:bCs/>
                <w:color w:val="003399"/>
              </w:rPr>
            </w:pPr>
            <w:r w:rsidRPr="000A5A31">
              <w:rPr>
                <w:rFonts w:ascii="Open Sans" w:hAnsi="Open Sans" w:cs="Open Sans"/>
                <w:b/>
                <w:bCs/>
                <w:color w:val="003399"/>
              </w:rPr>
              <w:t>The main indicators:</w:t>
            </w:r>
          </w:p>
          <w:p w14:paraId="1D0989F2" w14:textId="72F3CF13" w:rsidR="000A5A31" w:rsidRPr="000A5A31" w:rsidRDefault="000A5A31" w:rsidP="000A5A31">
            <w:pPr>
              <w:spacing w:before="81"/>
              <w:ind w:left="138"/>
              <w:jc w:val="both"/>
              <w:rPr>
                <w:rFonts w:ascii="Open Sans" w:hAnsi="Open Sans" w:cs="Open Sans"/>
                <w:color w:val="003399"/>
              </w:rPr>
            </w:pPr>
            <w:r w:rsidRPr="000A5A31">
              <w:rPr>
                <w:rFonts w:ascii="Open Sans" w:hAnsi="Open Sans" w:cs="Open Sans"/>
                <w:color w:val="003399"/>
              </w:rPr>
              <w:t xml:space="preserve">The </w:t>
            </w:r>
            <w:r w:rsidR="005E5D40" w:rsidRPr="005E5D40">
              <w:rPr>
                <w:rFonts w:ascii="Open Sans" w:hAnsi="Open Sans" w:cs="Open Sans"/>
                <w:color w:val="003399"/>
              </w:rPr>
              <w:t xml:space="preserve">project ROHU445 contributes to the </w:t>
            </w:r>
            <w:r w:rsidRPr="000A5A31">
              <w:rPr>
                <w:rFonts w:ascii="Open Sans" w:hAnsi="Open Sans" w:cs="Open Sans"/>
                <w:color w:val="003399"/>
              </w:rPr>
              <w:t xml:space="preserve">Programme Output Indicator </w:t>
            </w:r>
            <w:r w:rsidRPr="000A5A31">
              <w:rPr>
                <w:rFonts w:ascii="Open Sans" w:hAnsi="Open Sans" w:cs="Open Sans"/>
                <w:i/>
                <w:iCs/>
                <w:color w:val="003399"/>
              </w:rPr>
              <w:t>CO09 Sustainable Tourism: Increase in the expected number of visits to supported sites of cultural and natural heritage and attractions</w:t>
            </w:r>
            <w:r w:rsidRPr="000A5A31">
              <w:rPr>
                <w:rFonts w:ascii="Open Sans" w:hAnsi="Open Sans" w:cs="Open Sans"/>
                <w:color w:val="003399"/>
              </w:rPr>
              <w:t xml:space="preserve">, the number of tourists visiting the supported cultural and natural sites and attractions increased by </w:t>
            </w:r>
            <w:r w:rsidR="005E5D40" w:rsidRPr="009227B4">
              <w:rPr>
                <w:rFonts w:ascii="Open Sans" w:hAnsi="Open Sans" w:cs="Open Sans"/>
                <w:color w:val="003399"/>
              </w:rPr>
              <w:t>18,462</w:t>
            </w:r>
            <w:r w:rsidRPr="000A5A31">
              <w:rPr>
                <w:rFonts w:ascii="Open Sans" w:hAnsi="Open Sans" w:cs="Open Sans"/>
                <w:color w:val="003399"/>
              </w:rPr>
              <w:t>.</w:t>
            </w:r>
          </w:p>
          <w:p w14:paraId="495F006B" w14:textId="77777777" w:rsidR="000A5A31" w:rsidRDefault="000A5A31">
            <w:pPr>
              <w:pStyle w:val="TableParagraph"/>
              <w:spacing w:before="1" w:line="247" w:lineRule="auto"/>
              <w:ind w:left="113" w:right="82"/>
              <w:jc w:val="both"/>
              <w:rPr>
                <w:rFonts w:ascii="Open Sans" w:hAnsi="Open Sans" w:cs="Open Sans"/>
              </w:rPr>
            </w:pPr>
          </w:p>
          <w:p w14:paraId="07B7DB25" w14:textId="311E71BF" w:rsidR="00D733BD" w:rsidRPr="009227B4" w:rsidRDefault="00D733BD">
            <w:pPr>
              <w:pStyle w:val="TableParagraph"/>
              <w:spacing w:before="1" w:line="247" w:lineRule="auto"/>
              <w:ind w:left="113" w:right="82"/>
              <w:jc w:val="both"/>
              <w:rPr>
                <w:rFonts w:ascii="Open Sans" w:hAnsi="Open Sans" w:cs="Open Sans"/>
              </w:rPr>
            </w:pPr>
            <w:r w:rsidRPr="00D733BD">
              <w:rPr>
                <w:rFonts w:ascii="Open Sans" w:hAnsi="Open Sans" w:cs="Open Sans"/>
                <w:b/>
                <w:bCs/>
                <w:color w:val="003399"/>
              </w:rPr>
              <w:t>Project website:</w:t>
            </w:r>
            <w:r>
              <w:rPr>
                <w:rFonts w:ascii="Open Sans" w:hAnsi="Open Sans" w:cs="Open Sans"/>
              </w:rPr>
              <w:t xml:space="preserve"> </w:t>
            </w:r>
            <w:hyperlink r:id="rId9" w:history="1">
              <w:r w:rsidRPr="00FF5F0A">
                <w:rPr>
                  <w:rStyle w:val="Hyperlink"/>
                  <w:rFonts w:ascii="Open Sans" w:hAnsi="Open Sans" w:cs="Open Sans"/>
                </w:rPr>
                <w:t>https://www.cbcincubator.hu/</w:t>
              </w:r>
            </w:hyperlink>
            <w:r>
              <w:rPr>
                <w:rFonts w:ascii="Open Sans" w:hAnsi="Open Sans" w:cs="Open Sans"/>
              </w:rPr>
              <w:t xml:space="preserve"> </w:t>
            </w:r>
          </w:p>
        </w:tc>
      </w:tr>
      <w:tr w:rsidR="00513CFB" w:rsidRPr="009227B4" w14:paraId="27591D9B" w14:textId="77777777">
        <w:trPr>
          <w:trHeight w:val="1404"/>
        </w:trPr>
        <w:tc>
          <w:tcPr>
            <w:tcW w:w="2004" w:type="dxa"/>
            <w:shd w:val="clear" w:color="auto" w:fill="E7E6E6"/>
          </w:tcPr>
          <w:p w14:paraId="56118D6C" w14:textId="77777777" w:rsidR="00513CFB" w:rsidRPr="009227B4" w:rsidRDefault="00513CFB">
            <w:pPr>
              <w:pStyle w:val="TableParagraph"/>
              <w:rPr>
                <w:rFonts w:ascii="Open Sans" w:hAnsi="Open Sans" w:cs="Open Sans"/>
              </w:rPr>
            </w:pPr>
          </w:p>
          <w:p w14:paraId="7A6B5301" w14:textId="77777777" w:rsidR="00513CFB" w:rsidRPr="009227B4" w:rsidRDefault="00513CFB">
            <w:pPr>
              <w:pStyle w:val="TableParagraph"/>
              <w:spacing w:before="37"/>
              <w:rPr>
                <w:rFonts w:ascii="Open Sans" w:hAnsi="Open Sans" w:cs="Open Sans"/>
              </w:rPr>
            </w:pPr>
          </w:p>
          <w:p w14:paraId="025C475A" w14:textId="77777777" w:rsidR="00513CFB" w:rsidRPr="00E57C95" w:rsidRDefault="00000000">
            <w:pPr>
              <w:pStyle w:val="TableParagraph"/>
              <w:ind w:left="112"/>
              <w:rPr>
                <w:rFonts w:ascii="Open Sans" w:hAnsi="Open Sans" w:cs="Open Sans"/>
                <w:b/>
                <w:bCs/>
              </w:rPr>
            </w:pPr>
            <w:r w:rsidRPr="00E57C95">
              <w:rPr>
                <w:rFonts w:ascii="Open Sans" w:hAnsi="Open Sans" w:cs="Open Sans"/>
                <w:b/>
                <w:bCs/>
                <w:color w:val="003399"/>
              </w:rPr>
              <w:t>Concept Note</w:t>
            </w:r>
          </w:p>
        </w:tc>
        <w:tc>
          <w:tcPr>
            <w:tcW w:w="8034" w:type="dxa"/>
          </w:tcPr>
          <w:p w14:paraId="2929F015" w14:textId="77777777" w:rsidR="00513CFB" w:rsidRPr="009227B4" w:rsidRDefault="00000000">
            <w:pPr>
              <w:pStyle w:val="TableParagraph"/>
              <w:ind w:left="113"/>
              <w:rPr>
                <w:rFonts w:ascii="Open Sans" w:hAnsi="Open Sans" w:cs="Open Sans"/>
              </w:rPr>
            </w:pPr>
            <w:r w:rsidRPr="009227B4">
              <w:rPr>
                <w:rFonts w:ascii="Open Sans" w:hAnsi="Open Sans" w:cs="Open Sans"/>
                <w:color w:val="003399"/>
              </w:rPr>
              <w:t>Project code: ROHU-343</w:t>
            </w:r>
          </w:p>
          <w:p w14:paraId="48EC2BCC" w14:textId="754B8A30" w:rsidR="00513CFB" w:rsidRPr="009227B4" w:rsidRDefault="00000000">
            <w:pPr>
              <w:pStyle w:val="TableParagraph"/>
              <w:spacing w:before="24" w:line="290" w:lineRule="auto"/>
              <w:ind w:left="113" w:right="1258"/>
              <w:rPr>
                <w:rFonts w:ascii="Open Sans" w:hAnsi="Open Sans" w:cs="Open Sans"/>
              </w:rPr>
            </w:pPr>
            <w:r w:rsidRPr="009227B4">
              <w:rPr>
                <w:rFonts w:ascii="Open Sans" w:hAnsi="Open Sans" w:cs="Open Sans"/>
                <w:color w:val="003399"/>
              </w:rPr>
              <w:t>Implementation period: August 01, 2018 – January 31, 2019</w:t>
            </w:r>
            <w:r w:rsidR="00E57C95">
              <w:rPr>
                <w:rFonts w:ascii="Open Sans" w:hAnsi="Open Sans" w:cs="Open Sans"/>
                <w:color w:val="003399"/>
              </w:rPr>
              <w:t>.</w:t>
            </w:r>
            <w:r w:rsidRPr="009227B4">
              <w:rPr>
                <w:rFonts w:ascii="Open Sans" w:hAnsi="Open Sans" w:cs="Open Sans"/>
                <w:color w:val="003399"/>
              </w:rPr>
              <w:t xml:space="preserve"> Total budget 46,180.00 EUR, out of which ERDF 39,253.00 EUR. Preparation activities for developing the Full Application Form.</w:t>
            </w:r>
          </w:p>
        </w:tc>
      </w:tr>
    </w:tbl>
    <w:p w14:paraId="20D19DC0" w14:textId="77777777" w:rsidR="008E4A68" w:rsidRDefault="008E4A68"/>
    <w:sectPr w:rsidR="008E4A68">
      <w:pgSz w:w="11920" w:h="16850"/>
      <w:pgMar w:top="2000" w:right="850" w:bottom="880" w:left="850" w:header="719" w:footer="69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59F0DB" w14:textId="77777777" w:rsidR="008E4A68" w:rsidRDefault="008E4A68">
      <w:r>
        <w:separator/>
      </w:r>
    </w:p>
  </w:endnote>
  <w:endnote w:type="continuationSeparator" w:id="0">
    <w:p w14:paraId="2E5BE6D4" w14:textId="77777777" w:rsidR="008E4A68" w:rsidRDefault="008E4A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AF9B0" w14:textId="77777777" w:rsidR="00513CFB" w:rsidRDefault="00000000">
    <w:pPr>
      <w:pStyle w:val="BodyText"/>
      <w:spacing w:line="14" w:lineRule="auto"/>
      <w:rPr>
        <w:sz w:val="20"/>
      </w:rPr>
    </w:pPr>
    <w:r>
      <w:rPr>
        <w:noProof/>
        <w:sz w:val="20"/>
      </w:rPr>
      <mc:AlternateContent>
        <mc:Choice Requires="wps">
          <w:drawing>
            <wp:anchor distT="0" distB="0" distL="0" distR="0" simplePos="0" relativeHeight="487496192" behindDoc="1" locked="0" layoutInCell="1" allowOverlap="1" wp14:anchorId="2B897F52" wp14:editId="54E63EFC">
              <wp:simplePos x="0" y="0"/>
              <wp:positionH relativeFrom="page">
                <wp:posOffset>902004</wp:posOffset>
              </wp:positionH>
              <wp:positionV relativeFrom="page">
                <wp:posOffset>10110427</wp:posOffset>
              </wp:positionV>
              <wp:extent cx="2000250" cy="19621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0250" cy="196215"/>
                      </a:xfrm>
                      <a:prstGeom prst="rect">
                        <a:avLst/>
                      </a:prstGeom>
                    </wps:spPr>
                    <wps:txbx>
                      <w:txbxContent>
                        <w:p w14:paraId="58257010" w14:textId="77777777" w:rsidR="00513CFB" w:rsidRDefault="00000000">
                          <w:pPr>
                            <w:pStyle w:val="BodyText"/>
                            <w:spacing w:before="12"/>
                            <w:ind w:left="20"/>
                          </w:pPr>
                          <w:r>
                            <w:rPr>
                              <w:color w:val="003399"/>
                            </w:rPr>
                            <w:t>Partnership</w:t>
                          </w:r>
                          <w:r>
                            <w:rPr>
                              <w:color w:val="003399"/>
                              <w:spacing w:val="-6"/>
                            </w:rPr>
                            <w:t xml:space="preserve"> </w:t>
                          </w:r>
                          <w:r>
                            <w:rPr>
                              <w:color w:val="003399"/>
                            </w:rPr>
                            <w:t>for</w:t>
                          </w:r>
                          <w:r>
                            <w:rPr>
                              <w:color w:val="003399"/>
                              <w:spacing w:val="-8"/>
                            </w:rPr>
                            <w:t xml:space="preserve"> </w:t>
                          </w:r>
                          <w:r>
                            <w:rPr>
                              <w:color w:val="003399"/>
                            </w:rPr>
                            <w:t>a</w:t>
                          </w:r>
                          <w:r>
                            <w:rPr>
                              <w:color w:val="003399"/>
                              <w:spacing w:val="-6"/>
                            </w:rPr>
                            <w:t xml:space="preserve"> </w:t>
                          </w:r>
                          <w:r>
                            <w:rPr>
                              <w:color w:val="003399"/>
                            </w:rPr>
                            <w:t>better</w:t>
                          </w:r>
                          <w:r>
                            <w:rPr>
                              <w:color w:val="003399"/>
                              <w:spacing w:val="-8"/>
                            </w:rPr>
                            <w:t xml:space="preserve"> </w:t>
                          </w:r>
                          <w:r>
                            <w:rPr>
                              <w:color w:val="003399"/>
                              <w:spacing w:val="-2"/>
                            </w:rPr>
                            <w:t>future</w:t>
                          </w:r>
                        </w:p>
                      </w:txbxContent>
                    </wps:txbx>
                    <wps:bodyPr wrap="square" lIns="0" tIns="0" rIns="0" bIns="0" rtlCol="0">
                      <a:noAutofit/>
                    </wps:bodyPr>
                  </wps:wsp>
                </a:graphicData>
              </a:graphic>
            </wp:anchor>
          </w:drawing>
        </mc:Choice>
        <mc:Fallback>
          <w:pict>
            <v:shapetype w14:anchorId="2B897F52" id="_x0000_t202" coordsize="21600,21600" o:spt="202" path="m,l,21600r21600,l21600,xe">
              <v:stroke joinstyle="miter"/>
              <v:path gradientshapeok="t" o:connecttype="rect"/>
            </v:shapetype>
            <v:shape id="Textbox 6" o:spid="_x0000_s1026" type="#_x0000_t202" style="position:absolute;margin-left:71pt;margin-top:796.1pt;width:157.5pt;height:15.45pt;z-index:-1582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" filled="f" stroked="f">
              <v:textbox inset="0,0,0,0">
                <w:txbxContent>
                  <w:p w14:paraId="58257010" w14:textId="77777777" w:rsidR="00513CFB" w:rsidRDefault="00000000">
                    <w:pPr>
                      <w:pStyle w:val="BodyText"/>
                      <w:spacing w:before="12"/>
                      <w:ind w:left="20"/>
                    </w:pPr>
                    <w:r>
                      <w:rPr>
                        <w:color w:val="003399"/>
                      </w:rPr>
                      <w:t>Partnership</w:t>
                    </w:r>
                    <w:r>
                      <w:rPr>
                        <w:color w:val="003399"/>
                        <w:spacing w:val="-6"/>
                      </w:rPr>
                      <w:t xml:space="preserve"> </w:t>
                    </w:r>
                    <w:r>
                      <w:rPr>
                        <w:color w:val="003399"/>
                      </w:rPr>
                      <w:t>for</w:t>
                    </w:r>
                    <w:r>
                      <w:rPr>
                        <w:color w:val="003399"/>
                        <w:spacing w:val="-8"/>
                      </w:rPr>
                      <w:t xml:space="preserve"> </w:t>
                    </w:r>
                    <w:r>
                      <w:rPr>
                        <w:color w:val="003399"/>
                      </w:rPr>
                      <w:t>a</w:t>
                    </w:r>
                    <w:r>
                      <w:rPr>
                        <w:color w:val="003399"/>
                        <w:spacing w:val="-6"/>
                      </w:rPr>
                      <w:t xml:space="preserve"> </w:t>
                    </w:r>
                    <w:r>
                      <w:rPr>
                        <w:color w:val="003399"/>
                      </w:rPr>
                      <w:t>better</w:t>
                    </w:r>
                    <w:r>
                      <w:rPr>
                        <w:color w:val="003399"/>
                        <w:spacing w:val="-8"/>
                      </w:rPr>
                      <w:t xml:space="preserve"> </w:t>
                    </w:r>
                    <w:r>
                      <w:rPr>
                        <w:color w:val="003399"/>
                        <w:spacing w:val="-2"/>
                      </w:rPr>
                      <w:t>future</w:t>
                    </w:r>
                  </w:p>
                </w:txbxContent>
              </v:textbox>
              <w10:wrap anchorx="page" anchory="page"/>
            </v:shape>
          </w:pict>
        </mc:Fallback>
      </mc:AlternateContent>
    </w:r>
    <w:r>
      <w:rPr>
        <w:noProof/>
        <w:sz w:val="20"/>
      </w:rPr>
      <mc:AlternateContent>
        <mc:Choice Requires="wps">
          <w:drawing>
            <wp:anchor distT="0" distB="0" distL="0" distR="0" simplePos="0" relativeHeight="487496704" behindDoc="1" locked="0" layoutInCell="1" allowOverlap="1" wp14:anchorId="200B2D5B" wp14:editId="67D7AD6F">
              <wp:simplePos x="0" y="0"/>
              <wp:positionH relativeFrom="page">
                <wp:posOffset>5354573</wp:posOffset>
              </wp:positionH>
              <wp:positionV relativeFrom="page">
                <wp:posOffset>10149331</wp:posOffset>
              </wp:positionV>
              <wp:extent cx="1280795" cy="16573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80795" cy="165735"/>
                      </a:xfrm>
                      <a:prstGeom prst="rect">
                        <a:avLst/>
                      </a:prstGeom>
                    </wps:spPr>
                    <wps:txbx>
                      <w:txbxContent>
                        <w:p w14:paraId="1C18EB9A" w14:textId="77777777" w:rsidR="00513CFB" w:rsidRDefault="00000000">
                          <w:pPr>
                            <w:spacing w:line="245" w:lineRule="exact"/>
                            <w:ind w:left="20"/>
                            <w:rPr>
                              <w:rFonts w:ascii="Calibri"/>
                            </w:rPr>
                          </w:pPr>
                          <w:hyperlink r:id="rId1">
                            <w:r>
                              <w:rPr>
                                <w:rFonts w:ascii="Calibri"/>
                                <w:color w:val="003399"/>
                                <w:spacing w:val="-4"/>
                              </w:rPr>
                              <w:t>www.interreg-</w:t>
                            </w:r>
                            <w:r>
                              <w:rPr>
                                <w:rFonts w:ascii="Calibri"/>
                                <w:color w:val="003399"/>
                                <w:spacing w:val="-2"/>
                              </w:rPr>
                              <w:t>rohu.eu</w:t>
                            </w:r>
                          </w:hyperlink>
                        </w:p>
                      </w:txbxContent>
                    </wps:txbx>
                    <wps:bodyPr wrap="square" lIns="0" tIns="0" rIns="0" bIns="0" rtlCol="0">
                      <a:noAutofit/>
                    </wps:bodyPr>
                  </wps:wsp>
                </a:graphicData>
              </a:graphic>
            </wp:anchor>
          </w:drawing>
        </mc:Choice>
        <mc:Fallback>
          <w:pict>
            <v:shape w14:anchorId="200B2D5B" id="Textbox 7" o:spid="_x0000_s1027" type="#_x0000_t202" style="position:absolute;margin-left:421.6pt;margin-top:799.15pt;width:100.85pt;height:13.05pt;z-index:-1581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" filled="f" stroked="f">
              <v:textbox inset="0,0,0,0">
                <w:txbxContent>
                  <w:p w14:paraId="1C18EB9A" w14:textId="77777777" w:rsidR="00513CFB" w:rsidRDefault="00000000">
                    <w:pPr>
                      <w:spacing w:line="245" w:lineRule="exact"/>
                      <w:ind w:left="20"/>
                      <w:rPr>
                        <w:rFonts w:ascii="Calibri"/>
                      </w:rPr>
                    </w:pPr>
                    <w:hyperlink r:id="rId2">
                      <w:r>
                        <w:rPr>
                          <w:rFonts w:ascii="Calibri"/>
                          <w:color w:val="003399"/>
                          <w:spacing w:val="-4"/>
                        </w:rPr>
                        <w:t>www.interreg-</w:t>
                      </w:r>
                      <w:r>
                        <w:rPr>
                          <w:rFonts w:ascii="Calibri"/>
                          <w:color w:val="003399"/>
                          <w:spacing w:val="-2"/>
                        </w:rPr>
                        <w:t>rohu.eu</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C66F50" w14:textId="77777777" w:rsidR="008E4A68" w:rsidRDefault="008E4A68">
      <w:r>
        <w:separator/>
      </w:r>
    </w:p>
  </w:footnote>
  <w:footnote w:type="continuationSeparator" w:id="0">
    <w:p w14:paraId="3C7CF74E" w14:textId="77777777" w:rsidR="008E4A68" w:rsidRDefault="008E4A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2999E" w14:textId="77777777" w:rsidR="00513CFB" w:rsidRDefault="00000000">
    <w:pPr>
      <w:pStyle w:val="BodyText"/>
      <w:spacing w:line="14" w:lineRule="auto"/>
      <w:rPr>
        <w:sz w:val="20"/>
      </w:rPr>
    </w:pPr>
    <w:r>
      <w:rPr>
        <w:noProof/>
        <w:sz w:val="20"/>
      </w:rPr>
      <w:drawing>
        <wp:anchor distT="0" distB="0" distL="0" distR="0" simplePos="0" relativeHeight="487493632" behindDoc="1" locked="0" layoutInCell="1" allowOverlap="1" wp14:anchorId="0FE54779" wp14:editId="69F3A959">
          <wp:simplePos x="0" y="0"/>
          <wp:positionH relativeFrom="page">
            <wp:posOffset>1499869</wp:posOffset>
          </wp:positionH>
          <wp:positionV relativeFrom="page">
            <wp:posOffset>456564</wp:posOffset>
          </wp:positionV>
          <wp:extent cx="1585468" cy="640715"/>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585468" cy="640715"/>
                  </a:xfrm>
                  <a:prstGeom prst="rect">
                    <a:avLst/>
                  </a:prstGeom>
                </pic:spPr>
              </pic:pic>
            </a:graphicData>
          </a:graphic>
        </wp:anchor>
      </w:drawing>
    </w:r>
    <w:r>
      <w:rPr>
        <w:noProof/>
        <w:sz w:val="20"/>
      </w:rPr>
      <w:drawing>
        <wp:anchor distT="0" distB="0" distL="0" distR="0" simplePos="0" relativeHeight="487494144" behindDoc="1" locked="0" layoutInCell="1" allowOverlap="1" wp14:anchorId="43B4A49B" wp14:editId="041BB005">
          <wp:simplePos x="0" y="0"/>
          <wp:positionH relativeFrom="page">
            <wp:posOffset>3246754</wp:posOffset>
          </wp:positionH>
          <wp:positionV relativeFrom="page">
            <wp:posOffset>456526</wp:posOffset>
          </wp:positionV>
          <wp:extent cx="425449" cy="348272"/>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 cstate="print"/>
                  <a:stretch>
                    <a:fillRect/>
                  </a:stretch>
                </pic:blipFill>
                <pic:spPr>
                  <a:xfrm>
                    <a:off x="0" y="0"/>
                    <a:ext cx="425449" cy="348272"/>
                  </a:xfrm>
                  <a:prstGeom prst="rect">
                    <a:avLst/>
                  </a:prstGeom>
                </pic:spPr>
              </pic:pic>
            </a:graphicData>
          </a:graphic>
        </wp:anchor>
      </w:drawing>
    </w:r>
    <w:r>
      <w:rPr>
        <w:noProof/>
        <w:sz w:val="20"/>
      </w:rPr>
      <w:drawing>
        <wp:anchor distT="0" distB="0" distL="0" distR="0" simplePos="0" relativeHeight="487494656" behindDoc="1" locked="0" layoutInCell="1" allowOverlap="1" wp14:anchorId="353C5DE6" wp14:editId="67EB0F3A">
          <wp:simplePos x="0" y="0"/>
          <wp:positionH relativeFrom="page">
            <wp:posOffset>5738495</wp:posOffset>
          </wp:positionH>
          <wp:positionV relativeFrom="page">
            <wp:posOffset>461581</wp:posOffset>
          </wp:positionV>
          <wp:extent cx="398145" cy="317182"/>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3" cstate="print"/>
                  <a:stretch>
                    <a:fillRect/>
                  </a:stretch>
                </pic:blipFill>
                <pic:spPr>
                  <a:xfrm>
                    <a:off x="0" y="0"/>
                    <a:ext cx="398145" cy="317182"/>
                  </a:xfrm>
                  <a:prstGeom prst="rect">
                    <a:avLst/>
                  </a:prstGeom>
                </pic:spPr>
              </pic:pic>
            </a:graphicData>
          </a:graphic>
        </wp:anchor>
      </w:drawing>
    </w:r>
    <w:r>
      <w:rPr>
        <w:noProof/>
        <w:sz w:val="20"/>
      </w:rPr>
      <w:drawing>
        <wp:anchor distT="0" distB="0" distL="0" distR="0" simplePos="0" relativeHeight="487495168" behindDoc="1" locked="0" layoutInCell="1" allowOverlap="1" wp14:anchorId="3FB419A2" wp14:editId="7B483576">
          <wp:simplePos x="0" y="0"/>
          <wp:positionH relativeFrom="page">
            <wp:posOffset>6353175</wp:posOffset>
          </wp:positionH>
          <wp:positionV relativeFrom="page">
            <wp:posOffset>461619</wp:posOffset>
          </wp:positionV>
          <wp:extent cx="291465" cy="308127"/>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4" cstate="print"/>
                  <a:stretch>
                    <a:fillRect/>
                  </a:stretch>
                </pic:blipFill>
                <pic:spPr>
                  <a:xfrm>
                    <a:off x="0" y="0"/>
                    <a:ext cx="291465" cy="308127"/>
                  </a:xfrm>
                  <a:prstGeom prst="rect">
                    <a:avLst/>
                  </a:prstGeom>
                </pic:spPr>
              </pic:pic>
            </a:graphicData>
          </a:graphic>
        </wp:anchor>
      </w:drawing>
    </w:r>
    <w:r>
      <w:rPr>
        <w:noProof/>
        <w:sz w:val="20"/>
      </w:rPr>
      <w:drawing>
        <wp:anchor distT="0" distB="0" distL="0" distR="0" simplePos="0" relativeHeight="487495680" behindDoc="1" locked="0" layoutInCell="1" allowOverlap="1" wp14:anchorId="1C37F95D" wp14:editId="2A662440">
          <wp:simplePos x="0" y="0"/>
          <wp:positionH relativeFrom="page">
            <wp:posOffset>913764</wp:posOffset>
          </wp:positionH>
          <wp:positionV relativeFrom="page">
            <wp:posOffset>484504</wp:posOffset>
          </wp:positionV>
          <wp:extent cx="425361" cy="224790"/>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5" cstate="print"/>
                  <a:stretch>
                    <a:fillRect/>
                  </a:stretch>
                </pic:blipFill>
                <pic:spPr>
                  <a:xfrm>
                    <a:off x="0" y="0"/>
                    <a:ext cx="425361" cy="22479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C92CD3"/>
    <w:multiLevelType w:val="hybridMultilevel"/>
    <w:tmpl w:val="D1F6431A"/>
    <w:lvl w:ilvl="0" w:tplc="AED49ED2">
      <w:numFmt w:val="bullet"/>
      <w:lvlText w:val=""/>
      <w:lvlJc w:val="left"/>
      <w:pPr>
        <w:ind w:left="826" w:hanging="354"/>
      </w:pPr>
      <w:rPr>
        <w:rFonts w:ascii="Symbol" w:eastAsia="Symbol" w:hAnsi="Symbol" w:cs="Symbol" w:hint="default"/>
        <w:b w:val="0"/>
        <w:bCs w:val="0"/>
        <w:i w:val="0"/>
        <w:iCs w:val="0"/>
        <w:color w:val="003399"/>
        <w:spacing w:val="0"/>
        <w:w w:val="100"/>
        <w:sz w:val="22"/>
        <w:szCs w:val="22"/>
        <w:lang w:val="en-US" w:eastAsia="en-US" w:bidi="ar-SA"/>
      </w:rPr>
    </w:lvl>
    <w:lvl w:ilvl="1" w:tplc="6058A446">
      <w:numFmt w:val="bullet"/>
      <w:lvlText w:val="•"/>
      <w:lvlJc w:val="left"/>
      <w:pPr>
        <w:ind w:left="1540" w:hanging="354"/>
      </w:pPr>
      <w:rPr>
        <w:rFonts w:hint="default"/>
        <w:lang w:val="en-US" w:eastAsia="en-US" w:bidi="ar-SA"/>
      </w:rPr>
    </w:lvl>
    <w:lvl w:ilvl="2" w:tplc="8078ED90">
      <w:numFmt w:val="bullet"/>
      <w:lvlText w:val="•"/>
      <w:lvlJc w:val="left"/>
      <w:pPr>
        <w:ind w:left="2260" w:hanging="354"/>
      </w:pPr>
      <w:rPr>
        <w:rFonts w:hint="default"/>
        <w:lang w:val="en-US" w:eastAsia="en-US" w:bidi="ar-SA"/>
      </w:rPr>
    </w:lvl>
    <w:lvl w:ilvl="3" w:tplc="49FE2B82">
      <w:numFmt w:val="bullet"/>
      <w:lvlText w:val="•"/>
      <w:lvlJc w:val="left"/>
      <w:pPr>
        <w:ind w:left="2981" w:hanging="354"/>
      </w:pPr>
      <w:rPr>
        <w:rFonts w:hint="default"/>
        <w:lang w:val="en-US" w:eastAsia="en-US" w:bidi="ar-SA"/>
      </w:rPr>
    </w:lvl>
    <w:lvl w:ilvl="4" w:tplc="9D8EFA00">
      <w:numFmt w:val="bullet"/>
      <w:lvlText w:val="•"/>
      <w:lvlJc w:val="left"/>
      <w:pPr>
        <w:ind w:left="3701" w:hanging="354"/>
      </w:pPr>
      <w:rPr>
        <w:rFonts w:hint="default"/>
        <w:lang w:val="en-US" w:eastAsia="en-US" w:bidi="ar-SA"/>
      </w:rPr>
    </w:lvl>
    <w:lvl w:ilvl="5" w:tplc="62A247B2">
      <w:numFmt w:val="bullet"/>
      <w:lvlText w:val="•"/>
      <w:lvlJc w:val="left"/>
      <w:pPr>
        <w:ind w:left="4422" w:hanging="354"/>
      </w:pPr>
      <w:rPr>
        <w:rFonts w:hint="default"/>
        <w:lang w:val="en-US" w:eastAsia="en-US" w:bidi="ar-SA"/>
      </w:rPr>
    </w:lvl>
    <w:lvl w:ilvl="6" w:tplc="FEE43140">
      <w:numFmt w:val="bullet"/>
      <w:lvlText w:val="•"/>
      <w:lvlJc w:val="left"/>
      <w:pPr>
        <w:ind w:left="5142" w:hanging="354"/>
      </w:pPr>
      <w:rPr>
        <w:rFonts w:hint="default"/>
        <w:lang w:val="en-US" w:eastAsia="en-US" w:bidi="ar-SA"/>
      </w:rPr>
    </w:lvl>
    <w:lvl w:ilvl="7" w:tplc="DEB0B526">
      <w:numFmt w:val="bullet"/>
      <w:lvlText w:val="•"/>
      <w:lvlJc w:val="left"/>
      <w:pPr>
        <w:ind w:left="5862" w:hanging="354"/>
      </w:pPr>
      <w:rPr>
        <w:rFonts w:hint="default"/>
        <w:lang w:val="en-US" w:eastAsia="en-US" w:bidi="ar-SA"/>
      </w:rPr>
    </w:lvl>
    <w:lvl w:ilvl="8" w:tplc="110AF720">
      <w:numFmt w:val="bullet"/>
      <w:lvlText w:val="•"/>
      <w:lvlJc w:val="left"/>
      <w:pPr>
        <w:ind w:left="6583" w:hanging="354"/>
      </w:pPr>
      <w:rPr>
        <w:rFonts w:hint="default"/>
        <w:lang w:val="en-US" w:eastAsia="en-US" w:bidi="ar-SA"/>
      </w:rPr>
    </w:lvl>
  </w:abstractNum>
  <w:abstractNum w:abstractNumId="1" w15:restartNumberingAfterBreak="0">
    <w:nsid w:val="39663EF2"/>
    <w:multiLevelType w:val="hybridMultilevel"/>
    <w:tmpl w:val="1C02D900"/>
    <w:lvl w:ilvl="0" w:tplc="7CD0D7B0">
      <w:numFmt w:val="bullet"/>
      <w:lvlText w:val=""/>
      <w:lvlJc w:val="left"/>
      <w:pPr>
        <w:ind w:left="833" w:hanging="361"/>
      </w:pPr>
      <w:rPr>
        <w:rFonts w:ascii="Symbol" w:eastAsia="Symbol" w:hAnsi="Symbol" w:cs="Symbol" w:hint="default"/>
        <w:b w:val="0"/>
        <w:bCs w:val="0"/>
        <w:i w:val="0"/>
        <w:iCs w:val="0"/>
        <w:color w:val="003399"/>
        <w:spacing w:val="0"/>
        <w:w w:val="100"/>
        <w:sz w:val="22"/>
        <w:szCs w:val="22"/>
        <w:lang w:val="en-US" w:eastAsia="en-US" w:bidi="ar-SA"/>
      </w:rPr>
    </w:lvl>
    <w:lvl w:ilvl="1" w:tplc="103C4FC2">
      <w:numFmt w:val="bullet"/>
      <w:lvlText w:val="•"/>
      <w:lvlJc w:val="left"/>
      <w:pPr>
        <w:ind w:left="1558" w:hanging="361"/>
      </w:pPr>
      <w:rPr>
        <w:rFonts w:hint="default"/>
        <w:lang w:val="en-US" w:eastAsia="en-US" w:bidi="ar-SA"/>
      </w:rPr>
    </w:lvl>
    <w:lvl w:ilvl="2" w:tplc="5DB2D170">
      <w:numFmt w:val="bullet"/>
      <w:lvlText w:val="•"/>
      <w:lvlJc w:val="left"/>
      <w:pPr>
        <w:ind w:left="2276" w:hanging="361"/>
      </w:pPr>
      <w:rPr>
        <w:rFonts w:hint="default"/>
        <w:lang w:val="en-US" w:eastAsia="en-US" w:bidi="ar-SA"/>
      </w:rPr>
    </w:lvl>
    <w:lvl w:ilvl="3" w:tplc="4156118E">
      <w:numFmt w:val="bullet"/>
      <w:lvlText w:val="•"/>
      <w:lvlJc w:val="left"/>
      <w:pPr>
        <w:ind w:left="2995" w:hanging="361"/>
      </w:pPr>
      <w:rPr>
        <w:rFonts w:hint="default"/>
        <w:lang w:val="en-US" w:eastAsia="en-US" w:bidi="ar-SA"/>
      </w:rPr>
    </w:lvl>
    <w:lvl w:ilvl="4" w:tplc="E71480F2">
      <w:numFmt w:val="bullet"/>
      <w:lvlText w:val="•"/>
      <w:lvlJc w:val="left"/>
      <w:pPr>
        <w:ind w:left="3713" w:hanging="361"/>
      </w:pPr>
      <w:rPr>
        <w:rFonts w:hint="default"/>
        <w:lang w:val="en-US" w:eastAsia="en-US" w:bidi="ar-SA"/>
      </w:rPr>
    </w:lvl>
    <w:lvl w:ilvl="5" w:tplc="500C4624">
      <w:numFmt w:val="bullet"/>
      <w:lvlText w:val="•"/>
      <w:lvlJc w:val="left"/>
      <w:pPr>
        <w:ind w:left="4432" w:hanging="361"/>
      </w:pPr>
      <w:rPr>
        <w:rFonts w:hint="default"/>
        <w:lang w:val="en-US" w:eastAsia="en-US" w:bidi="ar-SA"/>
      </w:rPr>
    </w:lvl>
    <w:lvl w:ilvl="6" w:tplc="58F2D0B6">
      <w:numFmt w:val="bullet"/>
      <w:lvlText w:val="•"/>
      <w:lvlJc w:val="left"/>
      <w:pPr>
        <w:ind w:left="5150" w:hanging="361"/>
      </w:pPr>
      <w:rPr>
        <w:rFonts w:hint="default"/>
        <w:lang w:val="en-US" w:eastAsia="en-US" w:bidi="ar-SA"/>
      </w:rPr>
    </w:lvl>
    <w:lvl w:ilvl="7" w:tplc="5E566D78">
      <w:numFmt w:val="bullet"/>
      <w:lvlText w:val="•"/>
      <w:lvlJc w:val="left"/>
      <w:pPr>
        <w:ind w:left="5868" w:hanging="361"/>
      </w:pPr>
      <w:rPr>
        <w:rFonts w:hint="default"/>
        <w:lang w:val="en-US" w:eastAsia="en-US" w:bidi="ar-SA"/>
      </w:rPr>
    </w:lvl>
    <w:lvl w:ilvl="8" w:tplc="3536A6E8">
      <w:numFmt w:val="bullet"/>
      <w:lvlText w:val="•"/>
      <w:lvlJc w:val="left"/>
      <w:pPr>
        <w:ind w:left="6587" w:hanging="361"/>
      </w:pPr>
      <w:rPr>
        <w:rFonts w:hint="default"/>
        <w:lang w:val="en-US" w:eastAsia="en-US" w:bidi="ar-SA"/>
      </w:rPr>
    </w:lvl>
  </w:abstractNum>
  <w:num w:numId="1" w16cid:durableId="1533421828">
    <w:abstractNumId w:val="0"/>
  </w:num>
  <w:num w:numId="2" w16cid:durableId="18232323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CFB"/>
    <w:rsid w:val="000A5A31"/>
    <w:rsid w:val="003B7F1B"/>
    <w:rsid w:val="00513CFB"/>
    <w:rsid w:val="005E5D40"/>
    <w:rsid w:val="008E4A68"/>
    <w:rsid w:val="009227B4"/>
    <w:rsid w:val="00D733BD"/>
    <w:rsid w:val="00E57C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607CC"/>
  <w15:docId w15:val="{FB46E4AA-0D38-4C7D-84A0-4A84643F8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eastAsia="Tahoma" w:hAnsi="Tahoma" w:cs="Tahom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Arial MT" w:eastAsia="Arial MT" w:hAnsi="Arial MT" w:cs="Arial MT"/>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D733BD"/>
    <w:rPr>
      <w:color w:val="0000FF" w:themeColor="hyperlink"/>
      <w:u w:val="single"/>
    </w:rPr>
  </w:style>
  <w:style w:type="character" w:styleId="UnresolvedMention">
    <w:name w:val="Unresolved Mention"/>
    <w:basedOn w:val="DefaultParagraphFont"/>
    <w:uiPriority w:val="99"/>
    <w:semiHidden/>
    <w:unhideWhenUsed/>
    <w:rsid w:val="00D733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cbcincubator.hu/"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interreg-rohu.eu/" TargetMode="External"/><Relationship Id="rId1" Type="http://schemas.openxmlformats.org/officeDocument/2006/relationships/hyperlink" Target="http://www.interreg-rohu.eu/"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845</Words>
  <Characters>4818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livia.oprea</dc:creator>
  <cp:lastModifiedBy>ROHU</cp:lastModifiedBy>
  <cp:revision>2</cp:revision>
  <dcterms:created xsi:type="dcterms:W3CDTF">2026-02-17T09:59:00Z</dcterms:created>
  <dcterms:modified xsi:type="dcterms:W3CDTF">2026-02-17T09:59:00Z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2023-11-20T00:00:00Z</vt:filetime>
  </property>
  <property fmtid="{D5CDD505-2E9C-101B-9397-08002B2CF9AE}" pid="3" name="Creator">
    <vt:lpwstr>Microsoft® Word 2019</vt:lpwstr>
  </property>
  <property fmtid="{D5CDD505-2E9C-101B-9397-08002B2CF9AE}" pid="4" name="LastSaved">
    <vt:filetime>2026-02-17T00:00:00Z</vt:filetime>
  </property>
  <property fmtid="{D5CDD505-2E9C-101B-9397-08002B2CF9AE}" pid="5" name="Producer">
    <vt:lpwstr>Microsoft® Word 2019</vt:lpwstr>
  </property>
  <property fmtid="{D5CDD505-2E9C-101B-9397-08002B2CF9AE}" pid="6" name="GrammarlyDocumentId">
    <vt:lpwstr>be5871a1-26d9-4e43-8500-dd33b8696ddc</vt:lpwstr>
  </property>
</Properties>
</file>