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432"/>
      </w:tblGrid>
      <w:tr w:rsidR="00965A63" w:rsidRPr="00F60870" w14:paraId="230333A9" w14:textId="77777777" w:rsidTr="005E1A6C">
        <w:trPr>
          <w:trHeight w:val="417"/>
        </w:trPr>
        <w:tc>
          <w:tcPr>
            <w:tcW w:w="10436" w:type="dxa"/>
            <w:gridSpan w:val="2"/>
            <w:shd w:val="clear" w:color="auto" w:fill="17365D" w:themeFill="text2" w:themeFillShade="BF"/>
          </w:tcPr>
          <w:p w14:paraId="5EB6B9CF" w14:textId="77777777" w:rsidR="00965A63" w:rsidRPr="00F60870" w:rsidRDefault="00000000">
            <w:pPr>
              <w:pStyle w:val="TableParagraph"/>
              <w:spacing w:before="50"/>
              <w:ind w:left="107"/>
              <w:rPr>
                <w:rFonts w:ascii="Open Sans" w:hAnsi="Open Sans" w:cs="Open Sans"/>
                <w:b/>
                <w:bCs/>
              </w:rPr>
            </w:pPr>
            <w:r w:rsidRPr="00F60870">
              <w:rPr>
                <w:rFonts w:ascii="Open Sans" w:hAnsi="Open Sans" w:cs="Open Sans"/>
                <w:b/>
                <w:bCs/>
                <w:color w:val="FFFFFF"/>
              </w:rPr>
              <w:t>3</w:t>
            </w:r>
            <w:r w:rsidRPr="00F60870">
              <w:rPr>
                <w:rFonts w:ascii="Open Sans" w:hAnsi="Open Sans" w:cs="Open Sans"/>
                <w:b/>
                <w:bCs/>
                <w:color w:val="FFFFFF"/>
                <w:vertAlign w:val="superscript"/>
              </w:rPr>
              <w:t>rd</w:t>
            </w:r>
            <w:r w:rsidRPr="00F60870">
              <w:rPr>
                <w:rFonts w:ascii="Open Sans" w:hAnsi="Open Sans" w:cs="Open Sans"/>
                <w:b/>
                <w:bCs/>
                <w:color w:val="FFFFFF"/>
              </w:rPr>
              <w:t xml:space="preserve"> Restricted Call for Proposals – Full Application Form</w:t>
            </w:r>
          </w:p>
        </w:tc>
      </w:tr>
      <w:tr w:rsidR="005E1A6C" w:rsidRPr="00F60870" w14:paraId="58EEA55D" w14:textId="77777777" w:rsidTr="00F60870">
        <w:trPr>
          <w:trHeight w:val="276"/>
        </w:trPr>
        <w:tc>
          <w:tcPr>
            <w:tcW w:w="2004" w:type="dxa"/>
            <w:shd w:val="clear" w:color="auto" w:fill="E7E6E6"/>
          </w:tcPr>
          <w:p w14:paraId="4CE19EBB" w14:textId="77777777" w:rsidR="00965A63" w:rsidRPr="00F60870" w:rsidRDefault="00000000" w:rsidP="00F60870">
            <w:pPr>
              <w:pStyle w:val="TableParagraph"/>
              <w:spacing w:line="259" w:lineRule="auto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Project code</w:t>
            </w:r>
          </w:p>
        </w:tc>
        <w:tc>
          <w:tcPr>
            <w:tcW w:w="8432" w:type="dxa"/>
          </w:tcPr>
          <w:p w14:paraId="06933897" w14:textId="77777777" w:rsidR="00965A63" w:rsidRPr="00F60870" w:rsidRDefault="00000000" w:rsidP="00F60870">
            <w:pPr>
              <w:pStyle w:val="TableParagraph"/>
              <w:spacing w:line="259" w:lineRule="auto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ROHU-456 FAF</w:t>
            </w:r>
          </w:p>
        </w:tc>
      </w:tr>
      <w:tr w:rsidR="005E1A6C" w:rsidRPr="00F60870" w14:paraId="0736F5C8" w14:textId="77777777">
        <w:trPr>
          <w:trHeight w:val="683"/>
        </w:trPr>
        <w:tc>
          <w:tcPr>
            <w:tcW w:w="2004" w:type="dxa"/>
            <w:shd w:val="clear" w:color="auto" w:fill="E7E6E6"/>
          </w:tcPr>
          <w:p w14:paraId="564AB694" w14:textId="77777777" w:rsidR="00965A63" w:rsidRPr="00F60870" w:rsidRDefault="00000000">
            <w:pPr>
              <w:pStyle w:val="TableParagraph"/>
              <w:spacing w:before="122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Project title</w:t>
            </w:r>
          </w:p>
        </w:tc>
        <w:tc>
          <w:tcPr>
            <w:tcW w:w="8432" w:type="dxa"/>
          </w:tcPr>
          <w:p w14:paraId="0B4B24C9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EASYDOOR</w:t>
            </w:r>
          </w:p>
          <w:p w14:paraId="5CCEDE67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Easing Access to Systemic Discovery of Our Origins and Resources</w:t>
            </w:r>
          </w:p>
        </w:tc>
      </w:tr>
      <w:tr w:rsidR="005E1A6C" w:rsidRPr="00F60870" w14:paraId="185A62B0" w14:textId="77777777">
        <w:trPr>
          <w:trHeight w:val="647"/>
        </w:trPr>
        <w:tc>
          <w:tcPr>
            <w:tcW w:w="2004" w:type="dxa"/>
            <w:shd w:val="clear" w:color="auto" w:fill="E7E6E6"/>
          </w:tcPr>
          <w:p w14:paraId="627F9D65" w14:textId="77777777" w:rsidR="00965A63" w:rsidRPr="00F60870" w:rsidRDefault="00000000">
            <w:pPr>
              <w:pStyle w:val="TableParagraph"/>
              <w:spacing w:before="21" w:line="232" w:lineRule="auto"/>
              <w:ind w:left="107" w:right="105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Priority axis</w:t>
            </w:r>
          </w:p>
        </w:tc>
        <w:tc>
          <w:tcPr>
            <w:tcW w:w="8432" w:type="dxa"/>
          </w:tcPr>
          <w:p w14:paraId="54C61E2E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PA1 - Joint protection and efficient use of common values and resources</w:t>
            </w:r>
          </w:p>
          <w:p w14:paraId="4F80B987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(Cooperating on common values and resources)</w:t>
            </w:r>
          </w:p>
        </w:tc>
      </w:tr>
      <w:tr w:rsidR="005E1A6C" w:rsidRPr="00F60870" w14:paraId="44FB0558" w14:textId="77777777">
        <w:trPr>
          <w:trHeight w:val="645"/>
        </w:trPr>
        <w:tc>
          <w:tcPr>
            <w:tcW w:w="2004" w:type="dxa"/>
            <w:shd w:val="clear" w:color="auto" w:fill="E7E6E6"/>
          </w:tcPr>
          <w:p w14:paraId="5E88A9F7" w14:textId="77777777" w:rsidR="00965A63" w:rsidRPr="00F60870" w:rsidRDefault="00000000" w:rsidP="005E1A6C">
            <w:pPr>
              <w:pStyle w:val="TableParagraph"/>
              <w:spacing w:before="29" w:line="232" w:lineRule="auto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Investment priority</w:t>
            </w:r>
          </w:p>
        </w:tc>
        <w:tc>
          <w:tcPr>
            <w:tcW w:w="8432" w:type="dxa"/>
          </w:tcPr>
          <w:p w14:paraId="3BED5321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SO6/c - Sustainable use of natural, historic, and cultural heritage within the</w:t>
            </w:r>
          </w:p>
          <w:p w14:paraId="1A9AF022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eligible area</w:t>
            </w:r>
          </w:p>
        </w:tc>
      </w:tr>
      <w:tr w:rsidR="005E1A6C" w:rsidRPr="00F60870" w14:paraId="6669907D" w14:textId="77777777">
        <w:trPr>
          <w:trHeight w:val="660"/>
        </w:trPr>
        <w:tc>
          <w:tcPr>
            <w:tcW w:w="2004" w:type="dxa"/>
            <w:shd w:val="clear" w:color="auto" w:fill="E7E6E6"/>
          </w:tcPr>
          <w:p w14:paraId="6D08D543" w14:textId="77777777" w:rsidR="00965A63" w:rsidRPr="00F60870" w:rsidRDefault="00000000">
            <w:pPr>
              <w:pStyle w:val="TableParagraph"/>
              <w:spacing w:before="29" w:line="232" w:lineRule="auto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Implementation period</w:t>
            </w:r>
          </w:p>
        </w:tc>
        <w:tc>
          <w:tcPr>
            <w:tcW w:w="8432" w:type="dxa"/>
          </w:tcPr>
          <w:p w14:paraId="06EA5272" w14:textId="77777777" w:rsidR="00965A63" w:rsidRPr="00F60870" w:rsidRDefault="00000000" w:rsidP="00F60870">
            <w:pPr>
              <w:pStyle w:val="TableParagraph"/>
              <w:spacing w:line="259" w:lineRule="auto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47 months (October 01, 2020 – August 31, 2024)</w:t>
            </w:r>
          </w:p>
        </w:tc>
      </w:tr>
      <w:tr w:rsidR="005E1A6C" w:rsidRPr="00F60870" w14:paraId="2AEABB88" w14:textId="77777777" w:rsidTr="00F60870">
        <w:trPr>
          <w:trHeight w:val="1833"/>
        </w:trPr>
        <w:tc>
          <w:tcPr>
            <w:tcW w:w="2004" w:type="dxa"/>
            <w:shd w:val="clear" w:color="auto" w:fill="E7E6E6"/>
          </w:tcPr>
          <w:p w14:paraId="7AD90AA3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7379F963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296133A4" w14:textId="77777777" w:rsidR="00965A63" w:rsidRPr="00F60870" w:rsidRDefault="00965A63">
            <w:pPr>
              <w:pStyle w:val="TableParagraph"/>
              <w:spacing w:before="155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106EAFB" w14:textId="77777777" w:rsidR="00965A63" w:rsidRPr="00F60870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Partners</w:t>
            </w:r>
          </w:p>
        </w:tc>
        <w:tc>
          <w:tcPr>
            <w:tcW w:w="8432" w:type="dxa"/>
          </w:tcPr>
          <w:p w14:paraId="51714ED6" w14:textId="77777777" w:rsidR="00965A63" w:rsidRPr="00F60870" w:rsidRDefault="00000000" w:rsidP="00F60870">
            <w:pPr>
              <w:pStyle w:val="TableParagraph"/>
              <w:spacing w:line="22" w:lineRule="atLeast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LB: Self-government of Szabolcs-Szatmár-Bereg County (Hungary)</w:t>
            </w:r>
          </w:p>
          <w:p w14:paraId="02EA55AB" w14:textId="77777777" w:rsidR="00965A63" w:rsidRPr="00F60870" w:rsidRDefault="00000000" w:rsidP="00F60870">
            <w:pPr>
              <w:pStyle w:val="TableParagraph"/>
              <w:spacing w:line="22" w:lineRule="atLeast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PP2: Szabolcs-Szatmár-Bereg County Regional Development and Environmental Management Agency Nonprofit Ltd (Hungary)</w:t>
            </w:r>
          </w:p>
          <w:p w14:paraId="72E52023" w14:textId="77777777" w:rsidR="00965A63" w:rsidRPr="00F60870" w:rsidRDefault="00000000" w:rsidP="00F60870">
            <w:pPr>
              <w:pStyle w:val="TableParagraph"/>
              <w:spacing w:line="22" w:lineRule="atLeast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PP3: „KÖLCSEY” Television Program Service Nonprofit Limited Liability Company (Hungary)</w:t>
            </w:r>
          </w:p>
          <w:p w14:paraId="5B0EE690" w14:textId="77777777" w:rsidR="00965A63" w:rsidRPr="00F60870" w:rsidRDefault="00000000" w:rsidP="00F60870">
            <w:pPr>
              <w:pStyle w:val="TableParagraph"/>
              <w:spacing w:line="22" w:lineRule="atLeast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PP4: Satu Mare County Administrative-Territorial Unit (Romania)</w:t>
            </w:r>
          </w:p>
          <w:p w14:paraId="65AFF8DA" w14:textId="77777777" w:rsidR="00965A63" w:rsidRPr="00F60870" w:rsidRDefault="00000000" w:rsidP="00F60870">
            <w:pPr>
              <w:pStyle w:val="TableParagraph"/>
              <w:spacing w:line="22" w:lineRule="atLeast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PP5: Satu Mare County Museum (Romania)</w:t>
            </w:r>
          </w:p>
        </w:tc>
      </w:tr>
      <w:tr w:rsidR="005E1A6C" w:rsidRPr="00F60870" w14:paraId="1110C1DA" w14:textId="77777777">
        <w:trPr>
          <w:trHeight w:val="1821"/>
        </w:trPr>
        <w:tc>
          <w:tcPr>
            <w:tcW w:w="2004" w:type="dxa"/>
            <w:shd w:val="clear" w:color="auto" w:fill="E7E6E6"/>
          </w:tcPr>
          <w:p w14:paraId="0A291F4F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6A2D770" w14:textId="77777777" w:rsidR="00965A63" w:rsidRPr="00F60870" w:rsidRDefault="00965A63">
            <w:pPr>
              <w:pStyle w:val="TableParagraph"/>
              <w:spacing w:before="185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02FD74E" w14:textId="77777777" w:rsidR="00965A63" w:rsidRPr="00F60870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TOTAL Budget</w:t>
            </w:r>
          </w:p>
        </w:tc>
        <w:tc>
          <w:tcPr>
            <w:tcW w:w="8432" w:type="dxa"/>
          </w:tcPr>
          <w:p w14:paraId="1663893B" w14:textId="77777777" w:rsidR="00965A63" w:rsidRPr="00F60870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Total 13,677,807.48 EUR, out of which </w:t>
            </w:r>
            <w:r w:rsidRPr="007B6A3D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ERDF 11,518,497.93 EUR</w:t>
            </w:r>
          </w:p>
          <w:p w14:paraId="03945143" w14:textId="77777777" w:rsidR="00965A63" w:rsidRPr="00F60870" w:rsidRDefault="00000000">
            <w:pPr>
              <w:pStyle w:val="TableParagraph"/>
              <w:spacing w:before="11" w:line="271" w:lineRule="auto"/>
              <w:ind w:right="1438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LB: 4,362,620.39 EUR ERDF, 513,198.14 EUR national co-financing PP2: 2,587,717.97 EUR ERDF, 304,406.97 EUR national co-financing PP3: 1,877,368.47 EUR ERDF, 220,844.80 EUR national co-financing PP4: 2,664,866.10 EUR ERDF, 407,566.00 EUR national co-financing</w:t>
            </w:r>
          </w:p>
          <w:p w14:paraId="6BFE2CFC" w14:textId="77777777" w:rsidR="00965A63" w:rsidRPr="00F60870" w:rsidRDefault="00000000">
            <w:pPr>
              <w:pStyle w:val="TableParagraph"/>
              <w:spacing w:line="263" w:lineRule="exact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PP5: 25,925.00 EUR ERDF, 3,964.69 EUR national co-financing</w:t>
            </w:r>
          </w:p>
        </w:tc>
      </w:tr>
      <w:tr w:rsidR="005E1A6C" w:rsidRPr="00F60870" w14:paraId="610AF90E" w14:textId="77777777">
        <w:trPr>
          <w:trHeight w:val="818"/>
        </w:trPr>
        <w:tc>
          <w:tcPr>
            <w:tcW w:w="2004" w:type="dxa"/>
            <w:shd w:val="clear" w:color="auto" w:fill="E7E6E6"/>
          </w:tcPr>
          <w:p w14:paraId="4AE976E0" w14:textId="77777777" w:rsidR="00965A63" w:rsidRPr="00F60870" w:rsidRDefault="00000000">
            <w:pPr>
              <w:pStyle w:val="TableParagraph"/>
              <w:spacing w:before="189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Objective</w:t>
            </w:r>
          </w:p>
        </w:tc>
        <w:tc>
          <w:tcPr>
            <w:tcW w:w="8432" w:type="dxa"/>
          </w:tcPr>
          <w:p w14:paraId="172E29EC" w14:textId="6A60DE75" w:rsidR="00965A63" w:rsidRPr="00F60870" w:rsidRDefault="00000000" w:rsidP="00FD682C">
            <w:pPr>
              <w:pStyle w:val="TableParagraph"/>
              <w:spacing w:line="250" w:lineRule="exact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The project aim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>ed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 xml:space="preserve">at 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>the sustainable development of the target region, the historical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land of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Sătmar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>, by organizing a unique, coherent cross-border tourist area based on the natural, historical and cultural heritage, increasing the number of visitors.</w:t>
            </w:r>
          </w:p>
        </w:tc>
      </w:tr>
      <w:tr w:rsidR="005E1A6C" w:rsidRPr="00F60870" w14:paraId="351C738B" w14:textId="77777777">
        <w:trPr>
          <w:trHeight w:val="3614"/>
        </w:trPr>
        <w:tc>
          <w:tcPr>
            <w:tcW w:w="2004" w:type="dxa"/>
            <w:shd w:val="clear" w:color="auto" w:fill="E7E6E6"/>
          </w:tcPr>
          <w:p w14:paraId="7D79E554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485FC997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DC58C49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3EA38B9C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232FB744" w14:textId="77777777" w:rsidR="00965A63" w:rsidRPr="00F60870" w:rsidRDefault="00965A63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78966C23" w14:textId="77777777" w:rsidR="00965A63" w:rsidRPr="00F60870" w:rsidRDefault="00965A63">
            <w:pPr>
              <w:pStyle w:val="TableParagraph"/>
              <w:spacing w:before="129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3DBF8303" w14:textId="77777777" w:rsidR="00965A63" w:rsidRPr="00F60870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Summary</w:t>
            </w:r>
          </w:p>
        </w:tc>
        <w:tc>
          <w:tcPr>
            <w:tcW w:w="8432" w:type="dxa"/>
          </w:tcPr>
          <w:p w14:paraId="7711CD26" w14:textId="77777777" w:rsidR="00965A63" w:rsidRPr="00F60870" w:rsidRDefault="00000000" w:rsidP="00F60870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The project area’s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main challenge addressed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by the project:</w:t>
            </w:r>
          </w:p>
          <w:p w14:paraId="00F81A74" w14:textId="75B8A613" w:rsidR="00965A63" w:rsidRPr="00F60870" w:rsidRDefault="005E1A6C" w:rsidP="00F6087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The touristic initiatives and attractions are mainly isolated from each other, their operators rarely cooperating, and the attractions are covering smaller areas or fewer members of the target groups.</w:t>
            </w:r>
          </w:p>
          <w:p w14:paraId="258D3715" w14:textId="77777777" w:rsidR="005E1273" w:rsidRDefault="005E1273" w:rsidP="00F6087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491B7A21" w14:textId="0BDF9C95" w:rsidR="00965A63" w:rsidRPr="00F60870" w:rsidRDefault="00000000" w:rsidP="00F6087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Main activities</w:t>
            </w:r>
            <w:r w:rsidR="00FD682C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 developed</w:t>
            </w:r>
            <w:r w:rsidRPr="00F60870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:</w:t>
            </w:r>
          </w:p>
          <w:p w14:paraId="3C80E841" w14:textId="74B3C95A" w:rsidR="005E1A6C" w:rsidRPr="00F60870" w:rsidRDefault="00000000" w:rsidP="00F60870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2" w:lineRule="atLeast"/>
              <w:ind w:left="300" w:right="96" w:hanging="19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Renovating the </w:t>
            </w:r>
            <w:r w:rsidR="00FD682C">
              <w:rPr>
                <w:rFonts w:ascii="Open Sans" w:hAnsi="Open Sans" w:cs="Open Sans"/>
                <w:color w:val="17365D" w:themeColor="text2" w:themeShade="BF"/>
              </w:rPr>
              <w:t>churches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in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Kállósemjén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Kisvárda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(2 locations),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Nagykálló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Eprejeske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Nagyar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Nyírbogát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Nyíribrony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Nyírtass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Székely, Ajak,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Fényeslitke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Gávavencsalka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Mátészalka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, Tarpa, and the historic walk in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Nyírbátor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in order to increase number of visit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>s;</w:t>
            </w:r>
          </w:p>
          <w:p w14:paraId="18303901" w14:textId="087540DA" w:rsidR="00F60870" w:rsidRPr="00F60870" w:rsidRDefault="00000000" w:rsidP="00F60870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2" w:lineRule="atLeast"/>
              <w:ind w:left="300" w:right="93" w:hanging="19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Developing a cross-border Eco-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centre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and Visitor Center (construction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activities) and endowing it in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Nagykálló-Harangod</w:t>
            </w:r>
            <w:proofErr w:type="spellEnd"/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 (HU). Within this Eco-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proofErr w:type="spellStart"/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>centre</w:t>
            </w:r>
            <w:proofErr w:type="spellEnd"/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 xml:space="preserve">, visitors </w:t>
            </w:r>
            <w:r w:rsidR="00FD682C">
              <w:rPr>
                <w:rFonts w:ascii="Open Sans" w:hAnsi="Open Sans" w:cs="Open Sans"/>
                <w:color w:val="17365D" w:themeColor="text2" w:themeShade="BF"/>
              </w:rPr>
              <w:t>can</w:t>
            </w:r>
            <w:r w:rsidR="005E1A6C" w:rsidRPr="00F60870">
              <w:rPr>
                <w:rFonts w:ascii="Open Sans" w:hAnsi="Open Sans" w:cs="Open Sans"/>
                <w:color w:val="17365D" w:themeColor="text2" w:themeShade="BF"/>
              </w:rPr>
              <w:t xml:space="preserve"> enjoy and admire the natural values and heritage without endangering or damaging them</w:t>
            </w:r>
            <w:r w:rsidR="00FD682C">
              <w:rPr>
                <w:rFonts w:ascii="Open Sans" w:hAnsi="Open Sans" w:cs="Open Sans"/>
                <w:color w:val="17365D" w:themeColor="text2" w:themeShade="BF"/>
              </w:rPr>
              <w:t>;</w:t>
            </w:r>
            <w:r w:rsidR="00F60870" w:rsidRPr="00F60870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</w:p>
          <w:p w14:paraId="4353522D" w14:textId="7F1A9951" w:rsidR="005E1273" w:rsidRDefault="00F60870" w:rsidP="00F60870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2" w:lineRule="atLeast"/>
              <w:ind w:left="300" w:right="93" w:hanging="19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60870">
              <w:rPr>
                <w:rFonts w:ascii="Open Sans" w:hAnsi="Open Sans" w:cs="Open Sans"/>
                <w:color w:val="17365D" w:themeColor="text2" w:themeShade="BF"/>
              </w:rPr>
              <w:t>Building and equipping a location for an interactive cross-border exhibition</w:t>
            </w:r>
            <w:r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F60870">
              <w:rPr>
                <w:rFonts w:ascii="Open Sans" w:hAnsi="Open Sans" w:cs="Open Sans"/>
                <w:color w:val="17365D" w:themeColor="text2" w:themeShade="BF"/>
              </w:rPr>
              <w:t xml:space="preserve">about the noble life in the cross-border region in the town of </w:t>
            </w:r>
            <w:proofErr w:type="spellStart"/>
            <w:r w:rsidRPr="00F60870">
              <w:rPr>
                <w:rFonts w:ascii="Open Sans" w:hAnsi="Open Sans" w:cs="Open Sans"/>
                <w:color w:val="17365D" w:themeColor="text2" w:themeShade="BF"/>
              </w:rPr>
              <w:t>Baktalórántháza</w:t>
            </w:r>
            <w:proofErr w:type="spellEnd"/>
            <w:r w:rsidR="00FD682C">
              <w:rPr>
                <w:rFonts w:ascii="Open Sans" w:hAnsi="Open Sans" w:cs="Open Sans"/>
                <w:color w:val="17365D" w:themeColor="text2" w:themeShade="BF"/>
              </w:rPr>
              <w:t>;</w:t>
            </w:r>
            <w:r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</w:p>
          <w:p w14:paraId="24F3B967" w14:textId="0D990B4D" w:rsidR="00965A63" w:rsidRPr="00F60870" w:rsidRDefault="005E1273" w:rsidP="00F60870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2" w:lineRule="atLeast"/>
              <w:ind w:left="300" w:right="93" w:hanging="19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D70C3C">
              <w:rPr>
                <w:color w:val="17365D" w:themeColor="text2" w:themeShade="BF"/>
                <w:w w:val="105"/>
              </w:rPr>
              <w:t>Building and equipping a location for an interactive cross-border exhibition</w:t>
            </w:r>
            <w:r w:rsidRPr="00D70C3C">
              <w:rPr>
                <w:color w:val="17365D" w:themeColor="text2" w:themeShade="BF"/>
                <w:spacing w:val="-6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about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the</w:t>
            </w:r>
            <w:r w:rsidRPr="00D70C3C">
              <w:rPr>
                <w:color w:val="17365D" w:themeColor="text2" w:themeShade="BF"/>
                <w:spacing w:val="-5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life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of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serfs</w:t>
            </w:r>
            <w:r w:rsidRPr="00D70C3C">
              <w:rPr>
                <w:color w:val="17365D" w:themeColor="text2" w:themeShade="BF"/>
                <w:spacing w:val="-9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in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the</w:t>
            </w:r>
            <w:r w:rsidRPr="00D70C3C">
              <w:rPr>
                <w:color w:val="17365D" w:themeColor="text2" w:themeShade="BF"/>
                <w:spacing w:val="-5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cross-border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region</w:t>
            </w:r>
            <w:r w:rsidRPr="00D70C3C">
              <w:rPr>
                <w:color w:val="17365D" w:themeColor="text2" w:themeShade="BF"/>
                <w:spacing w:val="-6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in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>the</w:t>
            </w:r>
            <w:r w:rsidRPr="00D70C3C">
              <w:rPr>
                <w:color w:val="17365D" w:themeColor="text2" w:themeShade="BF"/>
                <w:spacing w:val="-7"/>
                <w:w w:val="105"/>
              </w:rPr>
              <w:t xml:space="preserve"> </w:t>
            </w:r>
            <w:r w:rsidRPr="00D70C3C">
              <w:rPr>
                <w:color w:val="17365D" w:themeColor="text2" w:themeShade="BF"/>
                <w:w w:val="105"/>
              </w:rPr>
              <w:t xml:space="preserve">town of </w:t>
            </w:r>
            <w:proofErr w:type="spellStart"/>
            <w:r w:rsidRPr="00D70C3C">
              <w:rPr>
                <w:color w:val="17365D" w:themeColor="text2" w:themeShade="BF"/>
                <w:w w:val="105"/>
              </w:rPr>
              <w:t>Érpatak</w:t>
            </w:r>
            <w:proofErr w:type="spellEnd"/>
            <w:r w:rsidRPr="00D70C3C">
              <w:rPr>
                <w:color w:val="17365D" w:themeColor="text2" w:themeShade="BF"/>
                <w:w w:val="105"/>
              </w:rPr>
              <w:t xml:space="preserve"> (HU)</w:t>
            </w:r>
          </w:p>
        </w:tc>
      </w:tr>
    </w:tbl>
    <w:p w14:paraId="1F896E25" w14:textId="77777777" w:rsidR="00965A63" w:rsidRPr="005E1A6C" w:rsidRDefault="00965A63">
      <w:pPr>
        <w:pStyle w:val="TableParagraph"/>
        <w:jc w:val="both"/>
        <w:rPr>
          <w:color w:val="17365D" w:themeColor="text2" w:themeShade="BF"/>
        </w:rPr>
        <w:sectPr w:rsidR="00965A63" w:rsidRPr="005E1A6C">
          <w:headerReference w:type="default" r:id="rId7"/>
          <w:footerReference w:type="default" r:id="rId8"/>
          <w:type w:val="continuous"/>
          <w:pgSz w:w="11910" w:h="16840"/>
          <w:pgMar w:top="2000" w:right="708" w:bottom="880" w:left="708" w:header="720" w:footer="683" w:gutter="0"/>
          <w:pgNumType w:start="1"/>
          <w:cols w:space="720"/>
        </w:sectPr>
      </w:pPr>
    </w:p>
    <w:p w14:paraId="76534254" w14:textId="77777777" w:rsidR="00965A63" w:rsidRPr="005E1A6C" w:rsidRDefault="00965A63">
      <w:pPr>
        <w:pStyle w:val="BodyText"/>
        <w:spacing w:before="1"/>
        <w:rPr>
          <w:rFonts w:ascii="Times New Roman"/>
          <w:color w:val="17365D" w:themeColor="text2" w:themeShade="BF"/>
          <w:sz w:val="1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432"/>
      </w:tblGrid>
      <w:tr w:rsidR="005E1A6C" w:rsidRPr="005E1A6C" w14:paraId="58840B16" w14:textId="77777777" w:rsidTr="005E1273">
        <w:trPr>
          <w:trHeight w:val="5910"/>
        </w:trPr>
        <w:tc>
          <w:tcPr>
            <w:tcW w:w="2004" w:type="dxa"/>
            <w:shd w:val="clear" w:color="auto" w:fill="E7E6E6"/>
          </w:tcPr>
          <w:p w14:paraId="732475E4" w14:textId="77777777" w:rsidR="00965A63" w:rsidRPr="005E1A6C" w:rsidRDefault="00965A63">
            <w:pPr>
              <w:pStyle w:val="TableParagraph"/>
              <w:ind w:left="0"/>
              <w:rPr>
                <w:rFonts w:ascii="Times New Roman"/>
                <w:color w:val="17365D" w:themeColor="text2" w:themeShade="BF"/>
              </w:rPr>
            </w:pPr>
          </w:p>
        </w:tc>
        <w:tc>
          <w:tcPr>
            <w:tcW w:w="8432" w:type="dxa"/>
          </w:tcPr>
          <w:p w14:paraId="370E08E9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95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Constructing and equipping a location to establish an interactive museum of literature from the cross-border region in the town of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Nyíregyháza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 (HU)</w:t>
            </w:r>
          </w:p>
          <w:p w14:paraId="3078A66A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97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Developing/creating cross-border media and marketing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centres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 in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Kisvárda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Mátészalka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Fehérgyarmat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 (including the appropriate equipment)</w:t>
            </w:r>
          </w:p>
          <w:p w14:paraId="1F950D32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>Refurbishing the Satu Mare County Museum</w:t>
            </w:r>
          </w:p>
          <w:p w14:paraId="34280517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100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>Developing an interactive exhibition concept and design study (1 study on content development for interactive exhibitions)</w:t>
            </w:r>
          </w:p>
          <w:p w14:paraId="7E581998" w14:textId="0630B3C3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97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Developing and implementing the "Learning through entertainment" method for rediscovering cultural and historical destinations in the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Sztamar</w:t>
            </w:r>
            <w:proofErr w:type="spellEnd"/>
            <w:r w:rsidRPr="00FD682C">
              <w:rPr>
                <w:rFonts w:ascii="Open Sans" w:hAnsi="Open Sans" w:cs="Open Sans"/>
                <w:color w:val="17365D" w:themeColor="text2" w:themeShade="BF"/>
              </w:rPr>
              <w:t>-Satu-Mare area. As part of this method, both an app and a game w</w:t>
            </w:r>
            <w:r w:rsidR="00350C1D" w:rsidRPr="00FD682C">
              <w:rPr>
                <w:rFonts w:ascii="Open Sans" w:hAnsi="Open Sans" w:cs="Open Sans"/>
                <w:color w:val="17365D" w:themeColor="text2" w:themeShade="BF"/>
              </w:rPr>
              <w:t>ere</w:t>
            </w: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 developed</w:t>
            </w:r>
          </w:p>
          <w:p w14:paraId="14DADF0C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96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Developing an application, including the content addition, regarding the attractions of the target region, the historic land of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Sătmar</w:t>
            </w:r>
            <w:proofErr w:type="spellEnd"/>
          </w:p>
          <w:p w14:paraId="2BAB8888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92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>Creating a game: "Treasure game", 1 treasure hunt book and 10 "treasure game" packs themed around tourist attractions in the area and available at various cultural locations in the target area</w:t>
            </w:r>
          </w:p>
          <w:p w14:paraId="6EA19395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101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 xml:space="preserve">Developing a website, including the content, regarding the attractions in the historical land of </w:t>
            </w:r>
            <w:proofErr w:type="spellStart"/>
            <w:r w:rsidRPr="00FD682C">
              <w:rPr>
                <w:rFonts w:ascii="Open Sans" w:hAnsi="Open Sans" w:cs="Open Sans"/>
                <w:color w:val="17365D" w:themeColor="text2" w:themeShade="BF"/>
              </w:rPr>
              <w:t>Sătmar</w:t>
            </w:r>
            <w:proofErr w:type="spellEnd"/>
          </w:p>
          <w:p w14:paraId="47A7B496" w14:textId="77777777" w:rsidR="00965A63" w:rsidRPr="00FD682C" w:rsidRDefault="00000000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right="101" w:hanging="18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>Developing a marketing plan to promote the tourist attractions in the target area.</w:t>
            </w:r>
          </w:p>
          <w:p w14:paraId="6F4F83E6" w14:textId="7BB94401" w:rsidR="00965A63" w:rsidRPr="0088393D" w:rsidRDefault="00EF1CC3" w:rsidP="00FD682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left="403" w:hanging="187"/>
              <w:jc w:val="both"/>
              <w:rPr>
                <w:color w:val="17365D" w:themeColor="text2" w:themeShade="BF"/>
              </w:rPr>
            </w:pPr>
            <w:r w:rsidRPr="00FD682C">
              <w:rPr>
                <w:rFonts w:ascii="Open Sans" w:hAnsi="Open Sans" w:cs="Open Sans"/>
                <w:color w:val="17365D" w:themeColor="text2" w:themeShade="BF"/>
              </w:rPr>
              <w:t>Developing the exhibition displays at Satu Mare County Museum</w:t>
            </w:r>
          </w:p>
        </w:tc>
      </w:tr>
      <w:tr w:rsidR="00533451" w:rsidRPr="005E1A6C" w14:paraId="3CE30E0F" w14:textId="77777777">
        <w:trPr>
          <w:trHeight w:val="2397"/>
        </w:trPr>
        <w:tc>
          <w:tcPr>
            <w:tcW w:w="2004" w:type="dxa"/>
            <w:shd w:val="clear" w:color="auto" w:fill="E7E6E6"/>
          </w:tcPr>
          <w:p w14:paraId="5CAA20A2" w14:textId="77777777" w:rsidR="00965A63" w:rsidRPr="005E1273" w:rsidRDefault="00965A63" w:rsidP="005E127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05B2D84C" w14:textId="77777777" w:rsidR="00965A63" w:rsidRPr="005E1273" w:rsidRDefault="00965A63" w:rsidP="005E127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39208F3C" w14:textId="77777777" w:rsidR="00965A63" w:rsidRPr="005E1273" w:rsidRDefault="00965A63" w:rsidP="005E127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3123D068" w14:textId="77777777" w:rsidR="00965A63" w:rsidRPr="005E1273" w:rsidRDefault="00965A63" w:rsidP="005E127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45FEF6EE" w14:textId="71EE53C4" w:rsidR="00965A63" w:rsidRPr="005E1273" w:rsidRDefault="00000000" w:rsidP="005E127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Main </w:t>
            </w:r>
            <w:r w:rsidR="00F60870"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outcomes</w:t>
            </w:r>
          </w:p>
        </w:tc>
        <w:tc>
          <w:tcPr>
            <w:tcW w:w="8432" w:type="dxa"/>
          </w:tcPr>
          <w:p w14:paraId="506BFAE7" w14:textId="239A2B4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The main deliverables:</w:t>
            </w:r>
          </w:p>
          <w:p w14:paraId="59854ACE" w14:textId="7777777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1) 3 interactive exhibitions set up in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Baktalórántháza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Érpatak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Nyíregyháza</w:t>
            </w:r>
            <w:proofErr w:type="spellEnd"/>
          </w:p>
          <w:p w14:paraId="6993A756" w14:textId="4B7BC733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2) 1 high-quality application developed 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>to present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the attractions of the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Szatmar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- Satu-Mare region</w:t>
            </w:r>
          </w:p>
          <w:p w14:paraId="60877AA9" w14:textId="7777777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3) 1 new concept for museum exhibitions developed within the Satu-Mare County Museum</w:t>
            </w:r>
          </w:p>
          <w:p w14:paraId="48799F3A" w14:textId="7777777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4) 15 churches, a historical walk and a pilgrims' resting place renovated and restored</w:t>
            </w:r>
          </w:p>
          <w:p w14:paraId="7CDE5B3E" w14:textId="7777777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5) 1 Eco-Centre developed and a visitor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centre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to exhibit the natural values ​​of the region and protect the common natural heritage and values ​​of the region</w:t>
            </w:r>
          </w:p>
          <w:p w14:paraId="795F5E4B" w14:textId="77777777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6) 3 cross-border media and marketing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centres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renovated and equipped in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Kisvárda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Mátészalka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Fehérgyarmat</w:t>
            </w:r>
            <w:proofErr w:type="spellEnd"/>
          </w:p>
          <w:p w14:paraId="7562A398" w14:textId="5AB15E5A" w:rsidR="00F60870" w:rsidRPr="005E1273" w:rsidRDefault="00F60870" w:rsidP="00FD682C">
            <w:pPr>
              <w:pStyle w:val="TableParagraph"/>
              <w:ind w:left="115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7) 1 county museum building renovated and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reorganised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in Satu-Mare</w:t>
            </w:r>
          </w:p>
          <w:p w14:paraId="6ADF2979" w14:textId="77777777" w:rsidR="00F60870" w:rsidRPr="005E1273" w:rsidRDefault="00F60870" w:rsidP="005E1273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6153D76F" w14:textId="09D5D1D2" w:rsidR="00965A63" w:rsidRPr="005E1273" w:rsidRDefault="00000000" w:rsidP="005E1273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Investments:</w:t>
            </w:r>
          </w:p>
          <w:p w14:paraId="44AA966B" w14:textId="77777777" w:rsidR="005E1273" w:rsidRDefault="00000000" w:rsidP="005E127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left="360" w:right="92" w:hanging="240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LB: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cultural, historic and religious tourist destinations developed by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15 churches, a pilgrimage resting place and a historical walk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(promenade) refurbished and restored, situated in 17 different locations in Szabolcs-Szatmár-Bereg county: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Kállósemjén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Kisvárda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(2 locations),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Nagykálló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Eprejeske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Nagyar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Nyírbogát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Nyíribrony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Nyírtass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>, Székely,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proofErr w:type="gramStart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Ajak, 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Fényeslitke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Gávavencsalka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Mátészalka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 Tarpa, 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Nyírbátor</w:t>
            </w:r>
            <w:proofErr w:type="spellEnd"/>
            <w:proofErr w:type="gramEnd"/>
            <w:r w:rsidRPr="005E1273">
              <w:rPr>
                <w:rFonts w:ascii="Open Sans" w:hAnsi="Open Sans" w:cs="Open Sans"/>
                <w:color w:val="17365D" w:themeColor="text2" w:themeShade="BF"/>
              </w:rPr>
              <w:t>.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>Investment value: 5.13 mil. EUR.</w:t>
            </w:r>
          </w:p>
          <w:p w14:paraId="08DA61B5" w14:textId="3DB7865E" w:rsidR="00F60870" w:rsidRPr="005E1273" w:rsidRDefault="00F60870" w:rsidP="005E127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left="360" w:right="92" w:hanging="240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PP2: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three interactive exhibitions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established to develop cultural and historic destinations. The interactive exhibitions in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Baktalórántháza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are introducing the noble life, serf life and the literary heritage of the cross- border</w:t>
            </w:r>
            <w:r w:rsidR="005E1273" w:rsidRPr="005E127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 region, while Literary Museum in </w:t>
            </w:r>
            <w:proofErr w:type="spellStart"/>
            <w:r w:rsidR="005E1273" w:rsidRPr="005E1273">
              <w:rPr>
                <w:rFonts w:ascii="Open Sans" w:hAnsi="Open Sans" w:cs="Open Sans"/>
                <w:color w:val="17365D" w:themeColor="text2" w:themeShade="BF"/>
                <w:w w:val="105"/>
              </w:rPr>
              <w:t>Nyíregyháza</w:t>
            </w:r>
            <w:proofErr w:type="spellEnd"/>
            <w:r w:rsidR="005E1273" w:rsidRPr="005E127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 helps in getting to know both Romanian and Hungarian authors in an interactive, modern way.</w:t>
            </w:r>
            <w:r w:rsidR="005E1273" w:rsidRPr="005E127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</w:p>
        </w:tc>
      </w:tr>
    </w:tbl>
    <w:p w14:paraId="6D9F1CDA" w14:textId="77777777" w:rsidR="00965A63" w:rsidRPr="005E1A6C" w:rsidRDefault="00965A63">
      <w:pPr>
        <w:pStyle w:val="TableParagraph"/>
        <w:spacing w:line="289" w:lineRule="exact"/>
        <w:jc w:val="both"/>
        <w:rPr>
          <w:rFonts w:ascii="Arial Black"/>
          <w:color w:val="17365D" w:themeColor="text2" w:themeShade="BF"/>
        </w:rPr>
        <w:sectPr w:rsidR="00965A63" w:rsidRPr="005E1A6C">
          <w:pgSz w:w="11910" w:h="16840"/>
          <w:pgMar w:top="2000" w:right="708" w:bottom="880" w:left="708" w:header="720" w:footer="683" w:gutter="0"/>
          <w:cols w:space="720"/>
        </w:sectPr>
      </w:pPr>
    </w:p>
    <w:p w14:paraId="0C22DB5F" w14:textId="77777777" w:rsidR="00965A63" w:rsidRPr="005E1A6C" w:rsidRDefault="00965A63">
      <w:pPr>
        <w:pStyle w:val="BodyText"/>
        <w:spacing w:before="1"/>
        <w:rPr>
          <w:rFonts w:ascii="Times New Roman"/>
          <w:color w:val="17365D" w:themeColor="text2" w:themeShade="BF"/>
          <w:sz w:val="1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432"/>
      </w:tblGrid>
      <w:tr w:rsidR="005E1A6C" w:rsidRPr="005E1A6C" w14:paraId="4FCDC3E2" w14:textId="77777777" w:rsidTr="005E1273">
        <w:trPr>
          <w:trHeight w:val="58"/>
        </w:trPr>
        <w:tc>
          <w:tcPr>
            <w:tcW w:w="2004" w:type="dxa"/>
            <w:shd w:val="clear" w:color="auto" w:fill="E7E6E6"/>
          </w:tcPr>
          <w:p w14:paraId="30468EE0" w14:textId="77777777" w:rsidR="00965A63" w:rsidRPr="005E1273" w:rsidRDefault="00965A63">
            <w:pPr>
              <w:pStyle w:val="TableParagraph"/>
              <w:ind w:left="0"/>
              <w:rPr>
                <w:rFonts w:ascii="Times New Roman"/>
                <w:color w:val="17365D" w:themeColor="text2" w:themeShade="BF"/>
              </w:rPr>
            </w:pPr>
          </w:p>
        </w:tc>
        <w:tc>
          <w:tcPr>
            <w:tcW w:w="8432" w:type="dxa"/>
          </w:tcPr>
          <w:p w14:paraId="4D16E4D8" w14:textId="68ABB025" w:rsidR="005E1273" w:rsidRPr="005E1273" w:rsidRDefault="005E1273" w:rsidP="005E1273">
            <w:pPr>
              <w:pStyle w:val="TableParagraph"/>
              <w:tabs>
                <w:tab w:val="left" w:pos="827"/>
              </w:tabs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Investment value: 2.44 mil. EUR.</w:t>
            </w:r>
          </w:p>
          <w:p w14:paraId="1C7CC988" w14:textId="54565B8E" w:rsidR="00965A63" w:rsidRPr="005E1273" w:rsidRDefault="005E1273" w:rsidP="005E12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119" w:hanging="119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PP3: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Eco-Centre (</w:t>
            </w:r>
            <w:proofErr w:type="spellStart"/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Nagykálló</w:t>
            </w:r>
            <w:proofErr w:type="spellEnd"/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-Harangod) developed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as a second phase,</w:t>
            </w:r>
            <w:r w:rsidR="00F60870"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exhibiting natural values and protecting the common natural heritage and values of the region. The size of the protected area, including the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Nagykálló-Harangod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Pond, can be measured in several hectares, and the investment contributes to attaining better conservation status of nature. Investment value: 0.9 mil. EUR.</w:t>
            </w:r>
          </w:p>
          <w:p w14:paraId="5586B964" w14:textId="3C744A62" w:rsidR="00965A63" w:rsidRPr="005E1273" w:rsidRDefault="005E1273" w:rsidP="005E12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119" w:hanging="119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Media network developed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>, providing media content on the local cultural</w:t>
            </w:r>
            <w:r w:rsidR="00F60870"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events with a focus on the mutual cultural heritage, through three cross- border media and marketing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centres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in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Kisvárda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,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Fehérgyarmat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Mátészalka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>, to promote the tourist destinations of the target region. Investment value: 0.6 mil. EUR.</w:t>
            </w:r>
          </w:p>
          <w:p w14:paraId="3D699E99" w14:textId="7647D2F0" w:rsidR="00965A63" w:rsidRPr="005E1273" w:rsidRDefault="005E1273" w:rsidP="005E12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119" w:hanging="119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PP4, PP5: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Satu Mare County Museum buildings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>, a monument of</w:t>
            </w:r>
            <w:r w:rsidR="00F60870"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>architecture, refurbished, to make the buildings suitable for satisfying the needs of visitors on high-quality standard as a 21stcentury museum. Investment value: 3.2 mil EUR.</w:t>
            </w:r>
          </w:p>
          <w:p w14:paraId="17F63A76" w14:textId="77777777" w:rsidR="00965A63" w:rsidRPr="005E1273" w:rsidRDefault="00965A63" w:rsidP="005E1273">
            <w:pPr>
              <w:pStyle w:val="TableParagraph"/>
              <w:ind w:left="0"/>
              <w:rPr>
                <w:rFonts w:ascii="Open Sans" w:hAnsi="Open Sans" w:cs="Open Sans"/>
                <w:color w:val="17365D" w:themeColor="text2" w:themeShade="BF"/>
                <w:sz w:val="16"/>
                <w:szCs w:val="16"/>
              </w:rPr>
            </w:pPr>
          </w:p>
          <w:p w14:paraId="31B704AB" w14:textId="1AD94363" w:rsidR="00F60870" w:rsidRPr="005E1273" w:rsidRDefault="0000000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Soft elements: </w:t>
            </w:r>
          </w:p>
          <w:p w14:paraId="553AD8FB" w14:textId="146FDC50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• development of </w:t>
            </w:r>
            <w:r w:rsidR="005E1273" w:rsidRPr="005E1273">
              <w:rPr>
                <w:rFonts w:ascii="Open Sans" w:hAnsi="Open Sans" w:cs="Open Sans"/>
                <w:color w:val="17365D" w:themeColor="text2" w:themeShade="BF"/>
              </w:rPr>
              <w:t xml:space="preserve">a </w:t>
            </w:r>
            <w:proofErr w:type="gramStart"/>
            <w:r w:rsidRPr="005E1273">
              <w:rPr>
                <w:rFonts w:ascii="Open Sans" w:hAnsi="Open Sans" w:cs="Open Sans"/>
                <w:color w:val="17365D" w:themeColor="text2" w:themeShade="BF"/>
              </w:rPr>
              <w:t>mobile applications</w:t>
            </w:r>
            <w:proofErr w:type="gramEnd"/>
            <w:r w:rsidRPr="005E1273">
              <w:rPr>
                <w:rFonts w:ascii="Open Sans" w:hAnsi="Open Sans" w:cs="Open Sans"/>
                <w:color w:val="17365D" w:themeColor="text2" w:themeShade="BF"/>
              </w:rPr>
              <w:t>,</w:t>
            </w:r>
          </w:p>
          <w:p w14:paraId="7E4E2FA2" w14:textId="29309834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• IT base (integrated access point) and marketing initiatives of the “umbrella” type for tourist attractions in the target area;</w:t>
            </w:r>
          </w:p>
          <w:p w14:paraId="188658A2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• development of interactive content of exhibitions/museums;</w:t>
            </w:r>
          </w:p>
          <w:p w14:paraId="7502FF36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• marketing and communication plan.</w:t>
            </w:r>
          </w:p>
          <w:p w14:paraId="0F05BBF2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  <w:sz w:val="16"/>
                <w:szCs w:val="16"/>
              </w:rPr>
            </w:pPr>
          </w:p>
          <w:p w14:paraId="6A07FA2B" w14:textId="26637D73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Main results:</w:t>
            </w:r>
          </w:p>
          <w:p w14:paraId="4F1539DB" w14:textId="169401CB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1) Creation of an integrated complex of tourist attractions in Szabolcs-Szatmár-Bereg county, including by promoting the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Szatmar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>-Satu-Mare area as an integrated tourist attraction;</w:t>
            </w:r>
          </w:p>
          <w:p w14:paraId="7C597885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2) A “learning through entertainment” method developed for the rediscovery of cultural and historical destinations in the </w:t>
            </w:r>
            <w:proofErr w:type="spellStart"/>
            <w:r w:rsidRPr="005E1273">
              <w:rPr>
                <w:rFonts w:ascii="Open Sans" w:hAnsi="Open Sans" w:cs="Open Sans"/>
                <w:color w:val="17365D" w:themeColor="text2" w:themeShade="BF"/>
              </w:rPr>
              <w:t>Szatmar</w:t>
            </w:r>
            <w:proofErr w:type="spellEnd"/>
            <w:r w:rsidRPr="005E1273">
              <w:rPr>
                <w:rFonts w:ascii="Open Sans" w:hAnsi="Open Sans" w:cs="Open Sans"/>
                <w:color w:val="17365D" w:themeColor="text2" w:themeShade="BF"/>
              </w:rPr>
              <w:t>-Satu-Mare area;</w:t>
            </w:r>
          </w:p>
          <w:p w14:paraId="0F719116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3) Natural treasures and protected natural areas are protected through ecotourism tools;</w:t>
            </w:r>
          </w:p>
          <w:p w14:paraId="12D7BBC2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4) The attractiveness of the Satu Mare County Museum has increased through a new exhibition concept and museum renovations.</w:t>
            </w:r>
          </w:p>
          <w:p w14:paraId="794AAEE1" w14:textId="77777777" w:rsidR="00F60870" w:rsidRPr="005E1273" w:rsidRDefault="00F60870" w:rsidP="005E1273">
            <w:pPr>
              <w:pStyle w:val="TableParagraph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63659F9" w14:textId="4123F0CA" w:rsidR="00F60870" w:rsidRPr="005E1273" w:rsidRDefault="00F60870" w:rsidP="005E1273">
            <w:pPr>
              <w:pStyle w:val="TableParagraph"/>
              <w:ind w:right="91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Main result indicator</w:t>
            </w:r>
          </w:p>
          <w:p w14:paraId="5916EBA5" w14:textId="4CD01477" w:rsidR="00965A63" w:rsidRPr="005E1273" w:rsidRDefault="0088393D" w:rsidP="005E1273">
            <w:pPr>
              <w:pStyle w:val="TableParagraph"/>
              <w:ind w:right="9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The Programme Output Indicator is </w:t>
            </w:r>
            <w:r w:rsidRPr="005E1273">
              <w:rPr>
                <w:rFonts w:ascii="Open Sans" w:hAnsi="Open Sans" w:cs="Open Sans"/>
                <w:i/>
                <w:color w:val="17365D" w:themeColor="text2" w:themeShade="BF"/>
              </w:rPr>
              <w:t>CO09 Sustainable Tourism: Increase in expected number of visits to supported sites of cultural and natural heritage and attractions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>. Project ROHU-456 contribut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>es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>by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increas</w:t>
            </w:r>
            <w:r w:rsidR="005E1273">
              <w:rPr>
                <w:rFonts w:ascii="Open Sans" w:hAnsi="Open Sans" w:cs="Open Sans"/>
                <w:color w:val="17365D" w:themeColor="text2" w:themeShade="BF"/>
              </w:rPr>
              <w:t>ing</w:t>
            </w: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 by 30,000 the number of visitors to the supported site.</w:t>
            </w:r>
          </w:p>
          <w:p w14:paraId="3726D6CE" w14:textId="77777777" w:rsidR="0088393D" w:rsidRPr="005E1273" w:rsidRDefault="0088393D" w:rsidP="005E1273">
            <w:pPr>
              <w:pStyle w:val="TableParagraph"/>
              <w:ind w:left="0"/>
              <w:rPr>
                <w:rFonts w:ascii="Times New Roman"/>
                <w:color w:val="17365D" w:themeColor="text2" w:themeShade="BF"/>
              </w:rPr>
            </w:pPr>
          </w:p>
          <w:p w14:paraId="58FBD2AB" w14:textId="759C29A0" w:rsidR="00965A63" w:rsidRPr="005E1273" w:rsidRDefault="00965A63" w:rsidP="005E1273">
            <w:pPr>
              <w:pStyle w:val="TableParagraph"/>
              <w:ind w:right="887"/>
              <w:rPr>
                <w:color w:val="17365D" w:themeColor="text2" w:themeShade="BF"/>
              </w:rPr>
            </w:pPr>
            <w:hyperlink r:id="rId9">
              <w:r w:rsidRPr="005E1273">
                <w:rPr>
                  <w:color w:val="17365D" w:themeColor="text2" w:themeShade="BF"/>
                  <w:u w:val="single" w:color="0462C1"/>
                </w:rPr>
                <w:t>https://kolcseytv.hu/rohu456</w:t>
              </w:r>
            </w:hyperlink>
            <w:r w:rsidRPr="005E1273">
              <w:rPr>
                <w:color w:val="17365D" w:themeColor="text2" w:themeShade="BF"/>
              </w:rPr>
              <w:t xml:space="preserve"> </w:t>
            </w:r>
            <w:hyperlink r:id="rId10">
              <w:r w:rsidRPr="005E1273">
                <w:rPr>
                  <w:color w:val="17365D" w:themeColor="text2" w:themeShade="BF"/>
                  <w:u w:val="single" w:color="0462C1"/>
                </w:rPr>
                <w:t>https://www.muzeusm.ro/proiecteeuropene/proiecte-europene-actuale/</w:t>
              </w:r>
            </w:hyperlink>
            <w:r w:rsidRPr="005E1273">
              <w:rPr>
                <w:color w:val="17365D" w:themeColor="text2" w:themeShade="BF"/>
              </w:rPr>
              <w:t xml:space="preserve"> </w:t>
            </w:r>
            <w:hyperlink r:id="rId11">
              <w:r w:rsidRPr="005E1273">
                <w:rPr>
                  <w:color w:val="17365D" w:themeColor="text2" w:themeShade="BF"/>
                  <w:u w:val="single" w:color="0462C1"/>
                </w:rPr>
                <w:t>https://www.szszbmo.hu/easydoor-rohu456</w:t>
              </w:r>
            </w:hyperlink>
            <w:r w:rsidRPr="005E1273">
              <w:rPr>
                <w:color w:val="17365D" w:themeColor="text2" w:themeShade="BF"/>
              </w:rPr>
              <w:t xml:space="preserve"> </w:t>
            </w:r>
            <w:hyperlink r:id="rId12">
              <w:r w:rsidRPr="005E1273">
                <w:rPr>
                  <w:color w:val="17365D" w:themeColor="text2" w:themeShade="BF"/>
                  <w:u w:val="single" w:color="0462C1"/>
                </w:rPr>
                <w:t>http://szszbmfu.hu/Projekt/ROHU456/36</w:t>
              </w:r>
            </w:hyperlink>
          </w:p>
        </w:tc>
      </w:tr>
      <w:tr w:rsidR="005E1A6C" w:rsidRPr="005E1A6C" w14:paraId="7022B501" w14:textId="77777777">
        <w:trPr>
          <w:trHeight w:val="1199"/>
        </w:trPr>
        <w:tc>
          <w:tcPr>
            <w:tcW w:w="2004" w:type="dxa"/>
            <w:shd w:val="clear" w:color="auto" w:fill="E7E6E6"/>
          </w:tcPr>
          <w:p w14:paraId="23E0A62C" w14:textId="77777777" w:rsidR="00965A63" w:rsidRPr="005E1273" w:rsidRDefault="00965A63">
            <w:pPr>
              <w:pStyle w:val="TableParagraph"/>
              <w:spacing w:before="188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7C539D21" w14:textId="77777777" w:rsidR="00965A63" w:rsidRPr="005E1273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Concept note</w:t>
            </w:r>
          </w:p>
        </w:tc>
        <w:tc>
          <w:tcPr>
            <w:tcW w:w="8432" w:type="dxa"/>
          </w:tcPr>
          <w:p w14:paraId="2EBFEF34" w14:textId="77777777" w:rsidR="00965A63" w:rsidRPr="005E1273" w:rsidRDefault="00000000" w:rsidP="005E1273">
            <w:pPr>
              <w:pStyle w:val="TableParagrap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 xml:space="preserve">Project code: </w:t>
            </w:r>
            <w:r w:rsidRPr="005E127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ROHU-349</w:t>
            </w:r>
          </w:p>
          <w:p w14:paraId="14486D3E" w14:textId="77777777" w:rsidR="00965A63" w:rsidRPr="005E1273" w:rsidRDefault="00000000" w:rsidP="005E1273">
            <w:pPr>
              <w:pStyle w:val="TableParagraph"/>
              <w:ind w:right="1438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Implementation period: 01 October 2018 – 30 November 2019 Total budget 348,825.98 EUR, out of which ERDF 296,502.07 EUR.</w:t>
            </w:r>
          </w:p>
          <w:p w14:paraId="3993A4B6" w14:textId="77777777" w:rsidR="00965A63" w:rsidRPr="005E1273" w:rsidRDefault="00000000" w:rsidP="005E1273">
            <w:pPr>
              <w:pStyle w:val="TableParagraph"/>
              <w:rPr>
                <w:rFonts w:ascii="Open Sans" w:hAnsi="Open Sans" w:cs="Open Sans"/>
                <w:color w:val="17365D" w:themeColor="text2" w:themeShade="BF"/>
              </w:rPr>
            </w:pPr>
            <w:r w:rsidRPr="005E1273">
              <w:rPr>
                <w:rFonts w:ascii="Open Sans" w:hAnsi="Open Sans" w:cs="Open Sans"/>
                <w:color w:val="17365D" w:themeColor="text2" w:themeShade="BF"/>
              </w:rPr>
              <w:t>Preparation activities for developing the Full Application Form.</w:t>
            </w:r>
          </w:p>
        </w:tc>
      </w:tr>
    </w:tbl>
    <w:p w14:paraId="7E86CDDD" w14:textId="77777777" w:rsidR="007F2980" w:rsidRDefault="007F2980"/>
    <w:sectPr w:rsidR="007F2980">
      <w:pgSz w:w="11910" w:h="16840"/>
      <w:pgMar w:top="2000" w:right="708" w:bottom="880" w:left="708" w:header="72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71AF" w14:textId="77777777" w:rsidR="002A505A" w:rsidRDefault="002A505A">
      <w:r>
        <w:separator/>
      </w:r>
    </w:p>
  </w:endnote>
  <w:endnote w:type="continuationSeparator" w:id="0">
    <w:p w14:paraId="06B1500C" w14:textId="77777777" w:rsidR="002A505A" w:rsidRDefault="002A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5605" w14:textId="77777777" w:rsidR="00965A6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B2C181" wp14:editId="5FB63898">
              <wp:simplePos x="0" y="0"/>
              <wp:positionH relativeFrom="page">
                <wp:posOffset>902004</wp:posOffset>
              </wp:positionH>
              <wp:positionV relativeFrom="page">
                <wp:posOffset>10119267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97290" w14:textId="77777777" w:rsidR="00965A6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2C18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6.8pt;width:158.8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" filled="f" stroked="f">
              <v:textbox inset="0,0,0,0">
                <w:txbxContent>
                  <w:p w14:paraId="2C397290" w14:textId="77777777" w:rsidR="00965A6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CA60B0A" wp14:editId="39026715">
              <wp:simplePos x="0" y="0"/>
              <wp:positionH relativeFrom="page">
                <wp:posOffset>5354192</wp:posOffset>
              </wp:positionH>
              <wp:positionV relativeFrom="page">
                <wp:posOffset>10152074</wp:posOffset>
              </wp:positionV>
              <wp:extent cx="13068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06949" w14:textId="77777777" w:rsidR="00965A63" w:rsidRDefault="00965A6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60B0A" id="Textbox 7" o:spid="_x0000_s1027" type="#_x0000_t202" style="position:absolute;margin-left:421.6pt;margin-top:799.4pt;width:102.9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AfDNpW&#10;4gAAAA4BAAAPAAAAAAAAAAAAAAAAAPEDAABkcnMvZG93bnJldi54bWxQSwUGAAAAAAQABADzAAAA&#10;AAUAAAAA&#10;" filled="f" stroked="f">
              <v:textbox inset="0,0,0,0">
                <w:txbxContent>
                  <w:p w14:paraId="3FC06949" w14:textId="77777777" w:rsidR="00965A63" w:rsidRDefault="00965A6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92B7" w14:textId="77777777" w:rsidR="002A505A" w:rsidRDefault="002A505A">
      <w:r>
        <w:separator/>
      </w:r>
    </w:p>
  </w:footnote>
  <w:footnote w:type="continuationSeparator" w:id="0">
    <w:p w14:paraId="6FF3DFE0" w14:textId="77777777" w:rsidR="002A505A" w:rsidRDefault="002A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E6E9" w14:textId="77777777" w:rsidR="00965A6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3A0D0BCE" wp14:editId="218AAAA4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5FC11005" wp14:editId="0C9083BC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F1A76B3" wp14:editId="55487BBB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8BF9271" wp14:editId="4861ED44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FD818FA" wp14:editId="50430F67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E30"/>
    <w:multiLevelType w:val="hybridMultilevel"/>
    <w:tmpl w:val="260CE5C6"/>
    <w:lvl w:ilvl="0" w:tplc="5F606916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354F40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2" w:tplc="F484F594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B06A45C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 w:tplc="680C0FD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F894F956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1C4AC0BA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19FAD5F6">
      <w:numFmt w:val="bullet"/>
      <w:lvlText w:val="•"/>
      <w:lvlJc w:val="left"/>
      <w:pPr>
        <w:ind w:left="6129" w:hanging="360"/>
      </w:pPr>
      <w:rPr>
        <w:rFonts w:hint="default"/>
        <w:lang w:val="en-US" w:eastAsia="en-US" w:bidi="ar-SA"/>
      </w:rPr>
    </w:lvl>
    <w:lvl w:ilvl="8" w:tplc="E0A0169E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842FCF"/>
    <w:multiLevelType w:val="hybridMultilevel"/>
    <w:tmpl w:val="A55AF8D4"/>
    <w:lvl w:ilvl="0" w:tplc="7834BD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728050A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 w:tplc="C58ADD1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A7AAAE1A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9B8E2A1E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1FD82584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93F21CAC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7" w:tplc="74FC793E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8" w:tplc="A8F44C7C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1D4F5C"/>
    <w:multiLevelType w:val="hybridMultilevel"/>
    <w:tmpl w:val="84B6B7C6"/>
    <w:lvl w:ilvl="0" w:tplc="9CFCE1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A20E26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696002F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1D02343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7646DAC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EA78C5C8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 w:tplc="0C36F6F4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7" w:tplc="87566408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8" w:tplc="FFB66FA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D62605"/>
    <w:multiLevelType w:val="hybridMultilevel"/>
    <w:tmpl w:val="6F267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9A3472"/>
    <w:multiLevelType w:val="hybridMultilevel"/>
    <w:tmpl w:val="8966AADC"/>
    <w:lvl w:ilvl="0" w:tplc="26AAD044">
      <w:numFmt w:val="bullet"/>
      <w:lvlText w:val=""/>
      <w:lvlJc w:val="left"/>
      <w:pPr>
        <w:ind w:left="486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BAEE964">
      <w:numFmt w:val="bullet"/>
      <w:lvlText w:val="•"/>
      <w:lvlJc w:val="left"/>
      <w:pPr>
        <w:ind w:left="1202" w:hanging="720"/>
      </w:pPr>
      <w:rPr>
        <w:rFonts w:hint="default"/>
        <w:lang w:val="en-US" w:eastAsia="en-US" w:bidi="ar-SA"/>
      </w:rPr>
    </w:lvl>
    <w:lvl w:ilvl="2" w:tplc="54C81000">
      <w:numFmt w:val="bullet"/>
      <w:lvlText w:val="•"/>
      <w:lvlJc w:val="left"/>
      <w:pPr>
        <w:ind w:left="1926" w:hanging="720"/>
      </w:pPr>
      <w:rPr>
        <w:rFonts w:hint="default"/>
        <w:lang w:val="en-US" w:eastAsia="en-US" w:bidi="ar-SA"/>
      </w:rPr>
    </w:lvl>
    <w:lvl w:ilvl="3" w:tplc="13340014">
      <w:numFmt w:val="bullet"/>
      <w:lvlText w:val="•"/>
      <w:lvlJc w:val="left"/>
      <w:pPr>
        <w:ind w:left="2650" w:hanging="720"/>
      </w:pPr>
      <w:rPr>
        <w:rFonts w:hint="default"/>
        <w:lang w:val="en-US" w:eastAsia="en-US" w:bidi="ar-SA"/>
      </w:rPr>
    </w:lvl>
    <w:lvl w:ilvl="4" w:tplc="7E6209D0">
      <w:numFmt w:val="bullet"/>
      <w:lvlText w:val="•"/>
      <w:lvlJc w:val="left"/>
      <w:pPr>
        <w:ind w:left="3374" w:hanging="720"/>
      </w:pPr>
      <w:rPr>
        <w:rFonts w:hint="default"/>
        <w:lang w:val="en-US" w:eastAsia="en-US" w:bidi="ar-SA"/>
      </w:rPr>
    </w:lvl>
    <w:lvl w:ilvl="5" w:tplc="CA9A33AE">
      <w:numFmt w:val="bullet"/>
      <w:lvlText w:val="•"/>
      <w:lvlJc w:val="left"/>
      <w:pPr>
        <w:ind w:left="4099" w:hanging="720"/>
      </w:pPr>
      <w:rPr>
        <w:rFonts w:hint="default"/>
        <w:lang w:val="en-US" w:eastAsia="en-US" w:bidi="ar-SA"/>
      </w:rPr>
    </w:lvl>
    <w:lvl w:ilvl="6" w:tplc="2554862A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ar-SA"/>
      </w:rPr>
    </w:lvl>
    <w:lvl w:ilvl="7" w:tplc="5B74F620">
      <w:numFmt w:val="bullet"/>
      <w:lvlText w:val="•"/>
      <w:lvlJc w:val="left"/>
      <w:pPr>
        <w:ind w:left="5547" w:hanging="720"/>
      </w:pPr>
      <w:rPr>
        <w:rFonts w:hint="default"/>
        <w:lang w:val="en-US" w:eastAsia="en-US" w:bidi="ar-SA"/>
      </w:rPr>
    </w:lvl>
    <w:lvl w:ilvl="8" w:tplc="F4FC1ABA">
      <w:numFmt w:val="bullet"/>
      <w:lvlText w:val="•"/>
      <w:lvlJc w:val="left"/>
      <w:pPr>
        <w:ind w:left="6271" w:hanging="720"/>
      </w:pPr>
      <w:rPr>
        <w:rFonts w:hint="default"/>
        <w:lang w:val="en-US" w:eastAsia="en-US" w:bidi="ar-SA"/>
      </w:rPr>
    </w:lvl>
  </w:abstractNum>
  <w:num w:numId="1" w16cid:durableId="1566185396">
    <w:abstractNumId w:val="2"/>
  </w:num>
  <w:num w:numId="2" w16cid:durableId="117114172">
    <w:abstractNumId w:val="0"/>
  </w:num>
  <w:num w:numId="3" w16cid:durableId="604266033">
    <w:abstractNumId w:val="4"/>
  </w:num>
  <w:num w:numId="4" w16cid:durableId="613244823">
    <w:abstractNumId w:val="1"/>
  </w:num>
  <w:num w:numId="5" w16cid:durableId="179883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63"/>
    <w:rsid w:val="0013377A"/>
    <w:rsid w:val="002A505A"/>
    <w:rsid w:val="002B4F45"/>
    <w:rsid w:val="00350C1D"/>
    <w:rsid w:val="00493469"/>
    <w:rsid w:val="004C4B4B"/>
    <w:rsid w:val="00517BC6"/>
    <w:rsid w:val="00533451"/>
    <w:rsid w:val="005E1273"/>
    <w:rsid w:val="005E1A6C"/>
    <w:rsid w:val="0062503C"/>
    <w:rsid w:val="00694524"/>
    <w:rsid w:val="007B6A3D"/>
    <w:rsid w:val="007C25E6"/>
    <w:rsid w:val="007F2980"/>
    <w:rsid w:val="0088393D"/>
    <w:rsid w:val="00965A63"/>
    <w:rsid w:val="00A4441B"/>
    <w:rsid w:val="00D70C3C"/>
    <w:rsid w:val="00DD0A8F"/>
    <w:rsid w:val="00EF1CC3"/>
    <w:rsid w:val="00F60870"/>
    <w:rsid w:val="00FD4A32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FECD"/>
  <w15:docId w15:val="{988A713A-9823-4D03-B4AC-D75C1C3A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szszbmfu.hu/Projekt/ROHU456/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zszbmo.hu/easydoor-rohu4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uzeusm.ro/proiecteeuropene/proiecte-europene-actu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cseytv.hu/rohu45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livia.oprea</dc:creator>
  <cp:lastModifiedBy>Camerzan Orsolya</cp:lastModifiedBy>
  <cp:revision>3</cp:revision>
  <dcterms:created xsi:type="dcterms:W3CDTF">2026-03-16T11:06:00Z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9f263bee-2e15-46a5-9da9-bd9336472bd8</vt:lpwstr>
  </property>
</Properties>
</file>