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0B68" w14:textId="77777777" w:rsidR="005C5DF8" w:rsidRPr="00EA2655" w:rsidRDefault="005C5DF8" w:rsidP="00EA2655">
      <w:pPr>
        <w:pStyle w:val="BodyText"/>
        <w:spacing w:line="22" w:lineRule="atLeast"/>
        <w:rPr>
          <w:rFonts w:ascii="Open Sans" w:hAnsi="Open Sans" w:cs="Open Sans"/>
          <w:sz w:val="22"/>
          <w:szCs w:val="22"/>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562"/>
      </w:tblGrid>
      <w:tr w:rsidR="005C5DF8" w:rsidRPr="00EA2655" w14:paraId="714C6DAF" w14:textId="77777777" w:rsidTr="00EA2655">
        <w:trPr>
          <w:trHeight w:val="417"/>
        </w:trPr>
        <w:tc>
          <w:tcPr>
            <w:tcW w:w="10348" w:type="dxa"/>
            <w:gridSpan w:val="2"/>
            <w:shd w:val="clear" w:color="auto" w:fill="17365D" w:themeFill="text2" w:themeFillShade="BF"/>
          </w:tcPr>
          <w:p w14:paraId="13103EF8" w14:textId="77777777" w:rsidR="005C5DF8" w:rsidRPr="00C626B0" w:rsidRDefault="00000000" w:rsidP="00EA2655">
            <w:pPr>
              <w:pStyle w:val="TableParagraph"/>
              <w:spacing w:line="22" w:lineRule="atLeast"/>
              <w:rPr>
                <w:rFonts w:ascii="Open Sans" w:hAnsi="Open Sans" w:cs="Open Sans"/>
                <w:b/>
                <w:bCs/>
              </w:rPr>
            </w:pPr>
            <w:r w:rsidRPr="00C626B0">
              <w:rPr>
                <w:rFonts w:ascii="Open Sans" w:hAnsi="Open Sans" w:cs="Open Sans"/>
                <w:b/>
                <w:bCs/>
                <w:color w:val="FFFFFF"/>
              </w:rPr>
              <w:t>Al Treilea Apel Restrâns - Aplicația Completă</w:t>
            </w:r>
          </w:p>
        </w:tc>
      </w:tr>
      <w:tr w:rsidR="005C5DF8" w:rsidRPr="00EA2655" w14:paraId="610C68B2" w14:textId="77777777">
        <w:trPr>
          <w:trHeight w:val="436"/>
        </w:trPr>
        <w:tc>
          <w:tcPr>
            <w:tcW w:w="1786" w:type="dxa"/>
            <w:shd w:val="clear" w:color="auto" w:fill="E7E6E6"/>
          </w:tcPr>
          <w:p w14:paraId="1C18B841"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Cod proiect</w:t>
            </w:r>
          </w:p>
        </w:tc>
        <w:tc>
          <w:tcPr>
            <w:tcW w:w="8562" w:type="dxa"/>
          </w:tcPr>
          <w:p w14:paraId="7B615BD1"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ROHU-456 FAF</w:t>
            </w:r>
          </w:p>
        </w:tc>
      </w:tr>
      <w:tr w:rsidR="005C5DF8" w:rsidRPr="00EA2655" w14:paraId="4098D9E8" w14:textId="77777777" w:rsidTr="00852AD5">
        <w:trPr>
          <w:trHeight w:val="529"/>
        </w:trPr>
        <w:tc>
          <w:tcPr>
            <w:tcW w:w="1786" w:type="dxa"/>
            <w:shd w:val="clear" w:color="auto" w:fill="E7E6E6"/>
          </w:tcPr>
          <w:p w14:paraId="34195399"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Titlu proiect</w:t>
            </w:r>
          </w:p>
        </w:tc>
        <w:tc>
          <w:tcPr>
            <w:tcW w:w="8562" w:type="dxa"/>
          </w:tcPr>
          <w:p w14:paraId="4AA8F3BE"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EASYDOOR</w:t>
            </w:r>
          </w:p>
          <w:p w14:paraId="4E9B8DB9"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Facilitarea accesului la descoperirea sistemică a originilor și resurselor noastre</w:t>
            </w:r>
          </w:p>
        </w:tc>
      </w:tr>
      <w:tr w:rsidR="005C5DF8" w:rsidRPr="00EA2655" w14:paraId="48E75BC2" w14:textId="77777777">
        <w:trPr>
          <w:trHeight w:val="599"/>
        </w:trPr>
        <w:tc>
          <w:tcPr>
            <w:tcW w:w="1786" w:type="dxa"/>
            <w:shd w:val="clear" w:color="auto" w:fill="E7E6E6"/>
          </w:tcPr>
          <w:p w14:paraId="42EC821B"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Axa prioritară</w:t>
            </w:r>
          </w:p>
        </w:tc>
        <w:tc>
          <w:tcPr>
            <w:tcW w:w="8562" w:type="dxa"/>
          </w:tcPr>
          <w:p w14:paraId="06482412"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1 – Protecția comună și utilizarea eficientă a valorilor comune și resurselor</w:t>
            </w:r>
          </w:p>
          <w:p w14:paraId="189C8D59"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(cooperarea în domeniul valorilor comune și resurselor)</w:t>
            </w:r>
          </w:p>
        </w:tc>
      </w:tr>
      <w:tr w:rsidR="005C5DF8" w:rsidRPr="00EA2655" w14:paraId="7DC49550" w14:textId="77777777" w:rsidTr="00852AD5">
        <w:trPr>
          <w:trHeight w:val="511"/>
        </w:trPr>
        <w:tc>
          <w:tcPr>
            <w:tcW w:w="1786" w:type="dxa"/>
            <w:shd w:val="clear" w:color="auto" w:fill="E7E6E6"/>
          </w:tcPr>
          <w:p w14:paraId="6EB805CE"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Prioritate de investiție</w:t>
            </w:r>
          </w:p>
        </w:tc>
        <w:tc>
          <w:tcPr>
            <w:tcW w:w="8562" w:type="dxa"/>
          </w:tcPr>
          <w:p w14:paraId="24C391FE"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6/c: Conservarea, protejarea, promovarea și dezvoltarea patrimoniului natural și cultural</w:t>
            </w:r>
          </w:p>
        </w:tc>
      </w:tr>
      <w:tr w:rsidR="005C5DF8" w:rsidRPr="00EA2655" w14:paraId="7AD8121D" w14:textId="77777777" w:rsidTr="00852AD5">
        <w:trPr>
          <w:trHeight w:val="511"/>
        </w:trPr>
        <w:tc>
          <w:tcPr>
            <w:tcW w:w="1786" w:type="dxa"/>
            <w:shd w:val="clear" w:color="auto" w:fill="E7E6E6"/>
          </w:tcPr>
          <w:p w14:paraId="79A1084F"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Perioada de implementare</w:t>
            </w:r>
          </w:p>
        </w:tc>
        <w:tc>
          <w:tcPr>
            <w:tcW w:w="8562" w:type="dxa"/>
          </w:tcPr>
          <w:p w14:paraId="31C8AE6B"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47 luni (01 Octombrie 2020 – 31 August 2024)</w:t>
            </w:r>
          </w:p>
        </w:tc>
      </w:tr>
      <w:tr w:rsidR="005C5DF8" w:rsidRPr="00EA2655" w14:paraId="3C4F40DB" w14:textId="77777777">
        <w:trPr>
          <w:trHeight w:val="1797"/>
        </w:trPr>
        <w:tc>
          <w:tcPr>
            <w:tcW w:w="1786" w:type="dxa"/>
            <w:shd w:val="clear" w:color="auto" w:fill="E7E6E6"/>
          </w:tcPr>
          <w:p w14:paraId="4E3BDB2B"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6953EB8B"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5380150D"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Parteneriat</w:t>
            </w:r>
          </w:p>
        </w:tc>
        <w:tc>
          <w:tcPr>
            <w:tcW w:w="8562" w:type="dxa"/>
          </w:tcPr>
          <w:p w14:paraId="73B48097"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BP: Consiliul Județean Szabolcs-Szatmár-Bereg (Ungaria)</w:t>
            </w:r>
          </w:p>
          <w:p w14:paraId="6EB61E22"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PP2: Agenția Nonprofit pentru Dezvoltare Regională și Managementul Mediului a județului Szabolcs-Szatmár-Bereg (Ungaria)</w:t>
            </w:r>
          </w:p>
          <w:p w14:paraId="5BAEF32A" w14:textId="77777777" w:rsidR="005C5DF8" w:rsidRPr="00EA2655" w:rsidRDefault="00000000" w:rsidP="00EA2655">
            <w:pPr>
              <w:pStyle w:val="TableParagraph"/>
              <w:spacing w:line="22" w:lineRule="atLeast"/>
              <w:ind w:right="234"/>
              <w:rPr>
                <w:rFonts w:ascii="Open Sans" w:hAnsi="Open Sans" w:cs="Open Sans"/>
                <w:color w:val="17365D" w:themeColor="text2" w:themeShade="BF"/>
              </w:rPr>
            </w:pPr>
            <w:r w:rsidRPr="00EA2655">
              <w:rPr>
                <w:rFonts w:ascii="Open Sans" w:hAnsi="Open Sans" w:cs="Open Sans"/>
                <w:color w:val="17365D" w:themeColor="text2" w:themeShade="BF"/>
              </w:rPr>
              <w:t>PP3: „KÖLCSEY” Serviciul de programe de televiziune nonprofit KFT (Ungaria) PP4: Consiliul Județean Satu Mare (România)</w:t>
            </w:r>
          </w:p>
          <w:p w14:paraId="61B372FD"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PP5: Muzeul Județean Satu Mare (România)</w:t>
            </w:r>
          </w:p>
        </w:tc>
      </w:tr>
      <w:tr w:rsidR="005C5DF8" w:rsidRPr="00EA2655" w14:paraId="4325E762" w14:textId="77777777">
        <w:trPr>
          <w:trHeight w:val="1797"/>
        </w:trPr>
        <w:tc>
          <w:tcPr>
            <w:tcW w:w="1786" w:type="dxa"/>
            <w:shd w:val="clear" w:color="auto" w:fill="E7E6E6"/>
          </w:tcPr>
          <w:p w14:paraId="4777EF72"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5F29B2BE"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5DBB040E"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Bugetul proiectului</w:t>
            </w:r>
          </w:p>
        </w:tc>
        <w:tc>
          <w:tcPr>
            <w:tcW w:w="8562" w:type="dxa"/>
          </w:tcPr>
          <w:p w14:paraId="40C2F959" w14:textId="77777777" w:rsidR="00C626B0" w:rsidRPr="00C626B0" w:rsidRDefault="00000000" w:rsidP="00C626B0">
            <w:pPr>
              <w:pStyle w:val="TableParagraph"/>
              <w:spacing w:line="22" w:lineRule="atLeast"/>
              <w:ind w:right="156"/>
              <w:jc w:val="both"/>
              <w:rPr>
                <w:rFonts w:ascii="Open Sans" w:hAnsi="Open Sans" w:cs="Open Sans"/>
                <w:b/>
                <w:bCs/>
                <w:color w:val="17365D" w:themeColor="text2" w:themeShade="BF"/>
              </w:rPr>
            </w:pPr>
            <w:r w:rsidRPr="00C626B0">
              <w:rPr>
                <w:rFonts w:ascii="Open Sans" w:hAnsi="Open Sans" w:cs="Open Sans"/>
                <w:b/>
                <w:bCs/>
                <w:color w:val="17365D" w:themeColor="text2" w:themeShade="BF"/>
              </w:rPr>
              <w:t xml:space="preserve">Total 13.677.807,48 euro, din care FEDR 11.518.497,93 euro </w:t>
            </w:r>
          </w:p>
          <w:p w14:paraId="66A1B1AD" w14:textId="77777777" w:rsidR="00C626B0" w:rsidRDefault="00000000" w:rsidP="00C626B0">
            <w:pPr>
              <w:pStyle w:val="TableParagraph"/>
              <w:spacing w:line="22" w:lineRule="atLeast"/>
              <w:ind w:right="156"/>
              <w:jc w:val="both"/>
              <w:rPr>
                <w:rFonts w:ascii="Open Sans" w:hAnsi="Open Sans" w:cs="Open Sans"/>
                <w:color w:val="17365D" w:themeColor="text2" w:themeShade="BF"/>
              </w:rPr>
            </w:pPr>
            <w:r w:rsidRPr="00EA2655">
              <w:rPr>
                <w:rFonts w:ascii="Open Sans" w:hAnsi="Open Sans" w:cs="Open Sans"/>
                <w:color w:val="17365D" w:themeColor="text2" w:themeShade="BF"/>
              </w:rPr>
              <w:t xml:space="preserve">BP: 4.362.620,39 euro FEDR, 513.198,14 euro cofin. națională </w:t>
            </w:r>
          </w:p>
          <w:p w14:paraId="39E31B44" w14:textId="12E497D6" w:rsidR="00C626B0" w:rsidRDefault="00000000" w:rsidP="00C626B0">
            <w:pPr>
              <w:pStyle w:val="TableParagraph"/>
              <w:spacing w:line="22" w:lineRule="atLeast"/>
              <w:ind w:right="156"/>
              <w:jc w:val="both"/>
              <w:rPr>
                <w:rFonts w:ascii="Open Sans" w:hAnsi="Open Sans" w:cs="Open Sans"/>
                <w:color w:val="17365D" w:themeColor="text2" w:themeShade="BF"/>
              </w:rPr>
            </w:pPr>
            <w:r w:rsidRPr="00EA2655">
              <w:rPr>
                <w:rFonts w:ascii="Open Sans" w:hAnsi="Open Sans" w:cs="Open Sans"/>
                <w:color w:val="17365D" w:themeColor="text2" w:themeShade="BF"/>
              </w:rPr>
              <w:t>PP2: 2.587.717,97 euro FEDR, 304.406,97 euro cofin.</w:t>
            </w:r>
            <w:r w:rsidR="00C626B0">
              <w:rPr>
                <w:rFonts w:ascii="Open Sans" w:hAnsi="Open Sans" w:cs="Open Sans"/>
                <w:color w:val="17365D" w:themeColor="text2" w:themeShade="BF"/>
              </w:rPr>
              <w:t xml:space="preserve"> </w:t>
            </w:r>
            <w:r w:rsidRPr="00EA2655">
              <w:rPr>
                <w:rFonts w:ascii="Open Sans" w:hAnsi="Open Sans" w:cs="Open Sans"/>
                <w:color w:val="17365D" w:themeColor="text2" w:themeShade="BF"/>
              </w:rPr>
              <w:t xml:space="preserve">națională </w:t>
            </w:r>
          </w:p>
          <w:p w14:paraId="3DE3115E" w14:textId="77777777" w:rsidR="00C626B0" w:rsidRDefault="00000000" w:rsidP="00C626B0">
            <w:pPr>
              <w:pStyle w:val="TableParagraph"/>
              <w:spacing w:line="22" w:lineRule="atLeast"/>
              <w:ind w:right="786"/>
              <w:jc w:val="both"/>
              <w:rPr>
                <w:rFonts w:ascii="Open Sans" w:hAnsi="Open Sans" w:cs="Open Sans"/>
                <w:color w:val="17365D" w:themeColor="text2" w:themeShade="BF"/>
              </w:rPr>
            </w:pPr>
            <w:r w:rsidRPr="00EA2655">
              <w:rPr>
                <w:rFonts w:ascii="Open Sans" w:hAnsi="Open Sans" w:cs="Open Sans"/>
                <w:color w:val="17365D" w:themeColor="text2" w:themeShade="BF"/>
              </w:rPr>
              <w:t xml:space="preserve">PP3: 1.877.368,47 euro FEDR, 220.844,80 euro cofin. națională </w:t>
            </w:r>
          </w:p>
          <w:p w14:paraId="6A976F8A" w14:textId="642A17E1" w:rsidR="005C5DF8" w:rsidRPr="00EA2655" w:rsidRDefault="00000000" w:rsidP="00C626B0">
            <w:pPr>
              <w:pStyle w:val="TableParagraph"/>
              <w:tabs>
                <w:tab w:val="left" w:pos="6240"/>
              </w:tabs>
              <w:spacing w:line="22" w:lineRule="atLeast"/>
              <w:ind w:right="336"/>
              <w:jc w:val="both"/>
              <w:rPr>
                <w:rFonts w:ascii="Open Sans" w:hAnsi="Open Sans" w:cs="Open Sans"/>
                <w:color w:val="17365D" w:themeColor="text2" w:themeShade="BF"/>
              </w:rPr>
            </w:pPr>
            <w:r w:rsidRPr="00EA2655">
              <w:rPr>
                <w:rFonts w:ascii="Open Sans" w:hAnsi="Open Sans" w:cs="Open Sans"/>
                <w:color w:val="17365D" w:themeColor="text2" w:themeShade="BF"/>
              </w:rPr>
              <w:t>PP4: 2.664.866,10 euro FEDR, 407.566,00 euro cofin. națională</w:t>
            </w:r>
          </w:p>
          <w:p w14:paraId="4E9EF4E5" w14:textId="77777777" w:rsidR="005C5DF8" w:rsidRPr="00EA2655" w:rsidRDefault="00000000" w:rsidP="00EA2655">
            <w:pPr>
              <w:pStyle w:val="TableParagraph"/>
              <w:spacing w:line="22" w:lineRule="atLeast"/>
              <w:jc w:val="both"/>
              <w:rPr>
                <w:rFonts w:ascii="Open Sans" w:hAnsi="Open Sans" w:cs="Open Sans"/>
                <w:color w:val="17365D" w:themeColor="text2" w:themeShade="BF"/>
              </w:rPr>
            </w:pPr>
            <w:r w:rsidRPr="00EA2655">
              <w:rPr>
                <w:rFonts w:ascii="Open Sans" w:hAnsi="Open Sans" w:cs="Open Sans"/>
                <w:color w:val="17365D" w:themeColor="text2" w:themeShade="BF"/>
              </w:rPr>
              <w:t>PP5: 25.925,00 euro FEDR, 3.964,69 euro cofin. națională</w:t>
            </w:r>
          </w:p>
        </w:tc>
      </w:tr>
      <w:tr w:rsidR="005C5DF8" w:rsidRPr="00EA2655" w14:paraId="74A97000" w14:textId="77777777">
        <w:trPr>
          <w:trHeight w:val="1199"/>
        </w:trPr>
        <w:tc>
          <w:tcPr>
            <w:tcW w:w="1786" w:type="dxa"/>
            <w:shd w:val="clear" w:color="auto" w:fill="E7E6E6"/>
          </w:tcPr>
          <w:p w14:paraId="202A6D8D"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16B970A0"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Obiectiv</w:t>
            </w:r>
          </w:p>
        </w:tc>
        <w:tc>
          <w:tcPr>
            <w:tcW w:w="8562" w:type="dxa"/>
          </w:tcPr>
          <w:p w14:paraId="632258A7" w14:textId="61ADB35D" w:rsidR="005C5DF8" w:rsidRPr="00EA2655" w:rsidRDefault="00000000" w:rsidP="00EA2655">
            <w:pPr>
              <w:pStyle w:val="TableParagraph"/>
              <w:spacing w:line="22" w:lineRule="atLeast"/>
              <w:ind w:right="96"/>
              <w:jc w:val="both"/>
              <w:rPr>
                <w:rFonts w:ascii="Open Sans" w:hAnsi="Open Sans" w:cs="Open Sans"/>
                <w:color w:val="17365D" w:themeColor="text2" w:themeShade="BF"/>
              </w:rPr>
            </w:pPr>
            <w:r w:rsidRPr="00EA2655">
              <w:rPr>
                <w:rFonts w:ascii="Open Sans" w:hAnsi="Open Sans" w:cs="Open Sans"/>
                <w:color w:val="17365D" w:themeColor="text2" w:themeShade="BF"/>
              </w:rPr>
              <w:t xml:space="preserve">Proiectul </w:t>
            </w:r>
            <w:r w:rsidR="00C626B0">
              <w:rPr>
                <w:rFonts w:ascii="Open Sans" w:hAnsi="Open Sans" w:cs="Open Sans"/>
                <w:color w:val="17365D" w:themeColor="text2" w:themeShade="BF"/>
              </w:rPr>
              <w:t>a vizat</w:t>
            </w:r>
            <w:r w:rsidRPr="00EA2655">
              <w:rPr>
                <w:rFonts w:ascii="Open Sans" w:hAnsi="Open Sans" w:cs="Open Sans"/>
                <w:color w:val="17365D" w:themeColor="text2" w:themeShade="BF"/>
              </w:rPr>
              <w:t xml:space="preserve"> dezvoltarea durabilă a regiunii țintă, ținutul istoric al Sătmarului, prin organizarea unei zone turistice transfrontaliere unice, coerente, bazată pe patrimoniul natural, istoric și cultural, având ca rezultat creșterea numărului de</w:t>
            </w:r>
          </w:p>
          <w:p w14:paraId="37AFF727"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vizitatori.</w:t>
            </w:r>
          </w:p>
        </w:tc>
      </w:tr>
      <w:tr w:rsidR="005C5DF8" w:rsidRPr="00EA2655" w14:paraId="44A3744B" w14:textId="77777777">
        <w:trPr>
          <w:trHeight w:val="3595"/>
        </w:trPr>
        <w:tc>
          <w:tcPr>
            <w:tcW w:w="1786" w:type="dxa"/>
            <w:shd w:val="clear" w:color="auto" w:fill="E7E6E6"/>
          </w:tcPr>
          <w:p w14:paraId="407095DF"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3A326C98"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3B7CE23A"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40FFB133"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2C3DBB1C"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573FE2E2" w14:textId="77777777" w:rsidR="005C5DF8" w:rsidRPr="00C626B0" w:rsidRDefault="005C5DF8" w:rsidP="00EA2655">
            <w:pPr>
              <w:pStyle w:val="TableParagraph"/>
              <w:spacing w:line="22" w:lineRule="atLeast"/>
              <w:ind w:left="0"/>
              <w:rPr>
                <w:rFonts w:ascii="Open Sans" w:hAnsi="Open Sans" w:cs="Open Sans"/>
                <w:b/>
                <w:bCs/>
                <w:color w:val="17365D" w:themeColor="text2" w:themeShade="BF"/>
              </w:rPr>
            </w:pPr>
          </w:p>
          <w:p w14:paraId="48EFDD68" w14:textId="77777777"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Sumar</w:t>
            </w:r>
          </w:p>
        </w:tc>
        <w:tc>
          <w:tcPr>
            <w:tcW w:w="8562" w:type="dxa"/>
          </w:tcPr>
          <w:p w14:paraId="350DA870" w14:textId="3E77F8BB"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 xml:space="preserve">Partenerii </w:t>
            </w:r>
            <w:r w:rsidR="00C626B0" w:rsidRPr="00C626B0">
              <w:rPr>
                <w:rFonts w:ascii="Open Sans" w:hAnsi="Open Sans" w:cs="Open Sans"/>
                <w:b/>
                <w:bCs/>
                <w:color w:val="17365D" w:themeColor="text2" w:themeShade="BF"/>
              </w:rPr>
              <w:t>au</w:t>
            </w:r>
            <w:r w:rsidRPr="00C626B0">
              <w:rPr>
                <w:rFonts w:ascii="Open Sans" w:hAnsi="Open Sans" w:cs="Open Sans"/>
                <w:b/>
                <w:bCs/>
                <w:color w:val="17365D" w:themeColor="text2" w:themeShade="BF"/>
              </w:rPr>
              <w:t xml:space="preserve"> aborda</w:t>
            </w:r>
            <w:r w:rsidR="00C626B0" w:rsidRPr="00C626B0">
              <w:rPr>
                <w:rFonts w:ascii="Open Sans" w:hAnsi="Open Sans" w:cs="Open Sans"/>
                <w:b/>
                <w:bCs/>
                <w:color w:val="17365D" w:themeColor="text2" w:themeShade="BF"/>
              </w:rPr>
              <w:t>t</w:t>
            </w:r>
            <w:r w:rsidRPr="00C626B0">
              <w:rPr>
                <w:rFonts w:ascii="Open Sans" w:hAnsi="Open Sans" w:cs="Open Sans"/>
                <w:b/>
                <w:bCs/>
                <w:color w:val="17365D" w:themeColor="text2" w:themeShade="BF"/>
              </w:rPr>
              <w:t xml:space="preserve"> următoarele provocări:</w:t>
            </w:r>
          </w:p>
          <w:p w14:paraId="6803995E" w14:textId="317B2C30" w:rsidR="005C5DF8" w:rsidRPr="00EA2655" w:rsidRDefault="00C626B0" w:rsidP="00852AD5">
            <w:pPr>
              <w:pStyle w:val="TableParagraph"/>
              <w:numPr>
                <w:ilvl w:val="0"/>
                <w:numId w:val="4"/>
              </w:numPr>
              <w:tabs>
                <w:tab w:val="left" w:pos="861"/>
              </w:tabs>
              <w:spacing w:line="22" w:lineRule="atLeast"/>
              <w:ind w:right="101"/>
              <w:jc w:val="both"/>
              <w:rPr>
                <w:rFonts w:ascii="Open Sans" w:hAnsi="Open Sans" w:cs="Open Sans"/>
                <w:color w:val="17365D" w:themeColor="text2" w:themeShade="BF"/>
              </w:rPr>
            </w:pPr>
            <w:r>
              <w:rPr>
                <w:rFonts w:ascii="Open Sans" w:hAnsi="Open Sans" w:cs="Open Sans"/>
                <w:color w:val="17365D" w:themeColor="text2" w:themeShade="BF"/>
              </w:rPr>
              <w:t>Inițiativele</w:t>
            </w:r>
            <w:r w:rsidR="00000000" w:rsidRPr="00EA2655">
              <w:rPr>
                <w:rFonts w:ascii="Open Sans" w:hAnsi="Open Sans" w:cs="Open Sans"/>
                <w:color w:val="17365D" w:themeColor="text2" w:themeShade="BF"/>
              </w:rPr>
              <w:t xml:space="preserve"> și atracțiile turistice sunt izolate, operatorii lor cooperează sporadic, acoperă zone mici și ajung la puțini membri ai grupului țintă.</w:t>
            </w:r>
          </w:p>
          <w:p w14:paraId="6D1F8C54" w14:textId="77777777" w:rsidR="005C5DF8" w:rsidRPr="00EA2655" w:rsidRDefault="005C5DF8" w:rsidP="00EA2655">
            <w:pPr>
              <w:pStyle w:val="TableParagraph"/>
              <w:spacing w:line="22" w:lineRule="atLeast"/>
              <w:ind w:left="0"/>
              <w:rPr>
                <w:rFonts w:ascii="Open Sans" w:hAnsi="Open Sans" w:cs="Open Sans"/>
                <w:color w:val="17365D" w:themeColor="text2" w:themeShade="BF"/>
              </w:rPr>
            </w:pPr>
          </w:p>
          <w:p w14:paraId="6E5762E8" w14:textId="5322F31F" w:rsidR="005C5DF8" w:rsidRPr="00C626B0" w:rsidRDefault="00000000" w:rsidP="00EA2655">
            <w:pPr>
              <w:pStyle w:val="TableParagraph"/>
              <w:spacing w:line="22" w:lineRule="atLeast"/>
              <w:rPr>
                <w:rFonts w:ascii="Open Sans" w:hAnsi="Open Sans" w:cs="Open Sans"/>
                <w:b/>
                <w:bCs/>
                <w:color w:val="17365D" w:themeColor="text2" w:themeShade="BF"/>
              </w:rPr>
            </w:pPr>
            <w:r w:rsidRPr="00C626B0">
              <w:rPr>
                <w:rFonts w:ascii="Open Sans" w:hAnsi="Open Sans" w:cs="Open Sans"/>
                <w:b/>
                <w:bCs/>
                <w:color w:val="17365D" w:themeColor="text2" w:themeShade="BF"/>
              </w:rPr>
              <w:t>Principalele activități implementate prin proiect:</w:t>
            </w:r>
          </w:p>
          <w:p w14:paraId="5DC6228B" w14:textId="77777777" w:rsidR="00804E37" w:rsidRDefault="00000000" w:rsidP="00852AD5">
            <w:pPr>
              <w:pStyle w:val="TableParagraph"/>
              <w:numPr>
                <w:ilvl w:val="0"/>
                <w:numId w:val="4"/>
              </w:numPr>
              <w:tabs>
                <w:tab w:val="left" w:pos="827"/>
              </w:tabs>
              <w:spacing w:line="22" w:lineRule="atLeast"/>
              <w:ind w:right="94"/>
              <w:jc w:val="both"/>
              <w:rPr>
                <w:rFonts w:ascii="Open Sans" w:hAnsi="Open Sans" w:cs="Open Sans"/>
                <w:color w:val="17365D" w:themeColor="text2" w:themeShade="BF"/>
              </w:rPr>
            </w:pPr>
            <w:r w:rsidRPr="00EA2655">
              <w:rPr>
                <w:rFonts w:ascii="Open Sans" w:hAnsi="Open Sans" w:cs="Open Sans"/>
                <w:color w:val="17365D" w:themeColor="text2" w:themeShade="BF"/>
              </w:rPr>
              <w:t>Renovarea bisericilor din Kállósemjén, Kisvárda (2 locații), Nagykálló, Eprejeske, Nagyar, Nyírbogát, Nyíribrony, Nyírtass, Székely, Ajak, Fényeslitke, Gávavencsalka, Mátészalka, Tarpa și refacerea cărării istorice din Nyírbátor,</w:t>
            </w:r>
          </w:p>
          <w:p w14:paraId="7166CC74" w14:textId="77777777" w:rsidR="005C5DF8" w:rsidRDefault="00000000" w:rsidP="00852AD5">
            <w:pPr>
              <w:pStyle w:val="TableParagraph"/>
              <w:numPr>
                <w:ilvl w:val="0"/>
                <w:numId w:val="4"/>
              </w:numPr>
              <w:tabs>
                <w:tab w:val="left" w:pos="827"/>
              </w:tabs>
              <w:spacing w:line="22" w:lineRule="atLeast"/>
              <w:ind w:right="94"/>
              <w:jc w:val="both"/>
              <w:rPr>
                <w:rFonts w:ascii="Open Sans" w:hAnsi="Open Sans" w:cs="Open Sans"/>
                <w:color w:val="17365D" w:themeColor="text2" w:themeShade="BF"/>
              </w:rPr>
            </w:pPr>
            <w:r w:rsidRPr="00804E37">
              <w:rPr>
                <w:rFonts w:ascii="Open Sans" w:hAnsi="Open Sans" w:cs="Open Sans"/>
                <w:color w:val="17365D" w:themeColor="text2" w:themeShade="BF"/>
              </w:rPr>
              <w:t>Dezvoltarea unui Eco-centrul transfrontalier și a  Centrului vizitatorilor</w:t>
            </w:r>
            <w:r w:rsidR="00C626B0" w:rsidRP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(activități de construcție) inclusiv dotarea corespunzătoare a acestuia, în</w:t>
            </w:r>
            <w:r w:rsidR="00C626B0" w:rsidRP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localitatea Nagykálló-Harangod (HU).</w:t>
            </w:r>
            <w:r w:rsidR="00C626B0" w:rsidRP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În cadrul acestui Eco centru vizitatorii</w:t>
            </w:r>
            <w:r w:rsidR="00804E37" w:rsidRPr="00804E37">
              <w:rPr>
                <w:rFonts w:ascii="Open Sans" w:hAnsi="Open Sans" w:cs="Open Sans"/>
                <w:color w:val="17365D" w:themeColor="text2" w:themeShade="BF"/>
              </w:rPr>
              <w:t xml:space="preserve"> </w:t>
            </w:r>
            <w:r w:rsidR="00804E37">
              <w:rPr>
                <w:rFonts w:ascii="Open Sans" w:hAnsi="Open Sans" w:cs="Open Sans"/>
                <w:color w:val="17365D" w:themeColor="text2" w:themeShade="BF"/>
              </w:rPr>
              <w:t>pot</w:t>
            </w:r>
            <w:r w:rsidR="00804E37" w:rsidRPr="00804E37">
              <w:rPr>
                <w:rFonts w:ascii="Open Sans" w:hAnsi="Open Sans" w:cs="Open Sans"/>
                <w:color w:val="17365D" w:themeColor="text2" w:themeShade="BF"/>
              </w:rPr>
              <w:t xml:space="preserve"> să admire valorile naturale fără a le pune în pericol sau a le deteriora</w:t>
            </w:r>
            <w:r w:rsidR="00804E37">
              <w:rPr>
                <w:rFonts w:ascii="Open Sans" w:hAnsi="Open Sans" w:cs="Open Sans"/>
                <w:color w:val="17365D" w:themeColor="text2" w:themeShade="BF"/>
              </w:rPr>
              <w:t>;</w:t>
            </w:r>
          </w:p>
          <w:p w14:paraId="5F51117A" w14:textId="77777777" w:rsidR="00852AD5" w:rsidRPr="00804E37" w:rsidRDefault="00852AD5" w:rsidP="00852AD5">
            <w:pPr>
              <w:pStyle w:val="TableParagraph"/>
              <w:numPr>
                <w:ilvl w:val="0"/>
                <w:numId w:val="4"/>
              </w:numPr>
              <w:tabs>
                <w:tab w:val="left" w:pos="827"/>
              </w:tabs>
              <w:spacing w:line="22" w:lineRule="atLeast"/>
              <w:ind w:right="66"/>
              <w:jc w:val="both"/>
              <w:rPr>
                <w:rFonts w:ascii="Open Sans" w:hAnsi="Open Sans" w:cs="Open Sans"/>
                <w:color w:val="17365D" w:themeColor="text2" w:themeShade="BF"/>
              </w:rPr>
            </w:pPr>
            <w:r w:rsidRPr="00804E37">
              <w:rPr>
                <w:rFonts w:ascii="Open Sans" w:hAnsi="Open Sans" w:cs="Open Sans"/>
                <w:color w:val="17365D" w:themeColor="text2" w:themeShade="BF"/>
              </w:rPr>
              <w:t>Construirea și echiparea unei expoziții</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transfrontalier</w:t>
            </w:r>
            <w:r>
              <w:rPr>
                <w:rFonts w:ascii="Open Sans" w:hAnsi="Open Sans" w:cs="Open Sans"/>
                <w:color w:val="17365D" w:themeColor="text2" w:themeShade="BF"/>
              </w:rPr>
              <w:t>e</w:t>
            </w:r>
            <w:r w:rsidRPr="00804E37">
              <w:rPr>
                <w:rFonts w:ascii="Open Sans" w:hAnsi="Open Sans" w:cs="Open Sans"/>
                <w:color w:val="17365D" w:themeColor="text2" w:themeShade="BF"/>
              </w:rPr>
              <w:tab/>
              <w:t>interactivă</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despre</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viața</w:t>
            </w:r>
            <w:r w:rsidRPr="00804E37">
              <w:rPr>
                <w:rFonts w:ascii="Open Sans" w:hAnsi="Open Sans" w:cs="Open Sans"/>
                <w:color w:val="17365D" w:themeColor="text2" w:themeShade="BF"/>
              </w:rPr>
              <w:tab/>
              <w:t>nobiliară</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din</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regiunea</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transfrontalieră,</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în localitatea</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Baktalórántháza (HU);</w:t>
            </w:r>
          </w:p>
          <w:p w14:paraId="4F95E5F3" w14:textId="11268C92" w:rsidR="00852AD5" w:rsidRPr="00852AD5" w:rsidRDefault="00852AD5" w:rsidP="00852AD5">
            <w:pPr>
              <w:pStyle w:val="TableParagraph"/>
              <w:numPr>
                <w:ilvl w:val="0"/>
                <w:numId w:val="4"/>
              </w:numPr>
              <w:tabs>
                <w:tab w:val="left" w:pos="390"/>
              </w:tabs>
              <w:spacing w:line="22" w:lineRule="atLeast"/>
              <w:ind w:right="101"/>
              <w:rPr>
                <w:rFonts w:ascii="Open Sans" w:hAnsi="Open Sans" w:cs="Open Sans"/>
                <w:color w:val="17365D" w:themeColor="text2" w:themeShade="BF"/>
              </w:rPr>
            </w:pPr>
            <w:r>
              <w:rPr>
                <w:rFonts w:ascii="Open Sans" w:hAnsi="Open Sans" w:cs="Open Sans"/>
                <w:color w:val="17365D" w:themeColor="text2" w:themeShade="BF"/>
              </w:rPr>
              <w:t xml:space="preserve"> </w:t>
            </w:r>
            <w:r w:rsidRPr="00804E37">
              <w:rPr>
                <w:rFonts w:ascii="Open Sans" w:hAnsi="Open Sans" w:cs="Open Sans"/>
                <w:color w:val="17365D" w:themeColor="text2" w:themeShade="BF"/>
              </w:rPr>
              <w:t>Construirea și echiparea unei expoziții</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transfrontalier</w:t>
            </w:r>
            <w:r>
              <w:rPr>
                <w:rFonts w:ascii="Open Sans" w:hAnsi="Open Sans" w:cs="Open Sans"/>
                <w:color w:val="17365D" w:themeColor="text2" w:themeShade="BF"/>
              </w:rPr>
              <w:t xml:space="preserve">e </w:t>
            </w:r>
            <w:r w:rsidRPr="00804E37">
              <w:rPr>
                <w:rFonts w:ascii="Open Sans" w:hAnsi="Open Sans" w:cs="Open Sans"/>
                <w:color w:val="17365D" w:themeColor="text2" w:themeShade="BF"/>
              </w:rPr>
              <w:t>interactive</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despr</w:t>
            </w:r>
            <w:r>
              <w:rPr>
                <w:rFonts w:ascii="Open Sans" w:hAnsi="Open Sans" w:cs="Open Sans"/>
                <w:color w:val="17365D" w:themeColor="text2" w:themeShade="BF"/>
              </w:rPr>
              <w:t xml:space="preserve">e </w:t>
            </w:r>
            <w:r w:rsidRPr="00804E37">
              <w:rPr>
                <w:rFonts w:ascii="Open Sans" w:hAnsi="Open Sans" w:cs="Open Sans"/>
                <w:color w:val="17365D" w:themeColor="text2" w:themeShade="BF"/>
              </w:rPr>
              <w:t>viața</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iobagilor</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din</w:t>
            </w:r>
            <w:r>
              <w:rPr>
                <w:rFonts w:ascii="Open Sans" w:hAnsi="Open Sans" w:cs="Open Sans"/>
                <w:color w:val="17365D" w:themeColor="text2" w:themeShade="BF"/>
              </w:rPr>
              <w:t xml:space="preserve"> </w:t>
            </w:r>
            <w:r w:rsidRPr="00804E37">
              <w:rPr>
                <w:rFonts w:ascii="Open Sans" w:hAnsi="Open Sans" w:cs="Open Sans"/>
                <w:color w:val="17365D" w:themeColor="text2" w:themeShade="BF"/>
              </w:rPr>
              <w:t>regiunea transfrontalieră, în localitatea Érpatak (HU);</w:t>
            </w:r>
          </w:p>
        </w:tc>
      </w:tr>
    </w:tbl>
    <w:p w14:paraId="4DB132FE" w14:textId="77777777" w:rsidR="005C5DF8" w:rsidRPr="00EA2655" w:rsidRDefault="005C5DF8" w:rsidP="00EA2655">
      <w:pPr>
        <w:pStyle w:val="TableParagraph"/>
        <w:spacing w:line="22" w:lineRule="atLeast"/>
        <w:jc w:val="both"/>
        <w:rPr>
          <w:rFonts w:ascii="Open Sans" w:hAnsi="Open Sans" w:cs="Open Sans"/>
        </w:rPr>
        <w:sectPr w:rsidR="005C5DF8" w:rsidRPr="00EA2655">
          <w:headerReference w:type="default" r:id="rId7"/>
          <w:footerReference w:type="default" r:id="rId8"/>
          <w:type w:val="continuous"/>
          <w:pgSz w:w="11910" w:h="16840"/>
          <w:pgMar w:top="1720" w:right="708" w:bottom="880" w:left="708" w:header="720" w:footer="700" w:gutter="0"/>
          <w:pgNumType w:start="1"/>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562"/>
      </w:tblGrid>
      <w:tr w:rsidR="005C5DF8" w:rsidRPr="00EA2655" w14:paraId="2C8B39B8" w14:textId="77777777" w:rsidTr="00852AD5">
        <w:trPr>
          <w:trHeight w:val="5747"/>
        </w:trPr>
        <w:tc>
          <w:tcPr>
            <w:tcW w:w="1786" w:type="dxa"/>
            <w:shd w:val="clear" w:color="auto" w:fill="E7E6E6"/>
          </w:tcPr>
          <w:p w14:paraId="21FE1AA2" w14:textId="77777777" w:rsidR="005C5DF8" w:rsidRPr="00EA2655" w:rsidRDefault="005C5DF8" w:rsidP="00EA2655">
            <w:pPr>
              <w:pStyle w:val="TableParagraph"/>
              <w:spacing w:line="22" w:lineRule="atLeast"/>
              <w:ind w:left="0"/>
              <w:rPr>
                <w:rFonts w:ascii="Open Sans" w:hAnsi="Open Sans" w:cs="Open Sans"/>
                <w:color w:val="17365D" w:themeColor="text2" w:themeShade="BF"/>
              </w:rPr>
            </w:pPr>
          </w:p>
        </w:tc>
        <w:tc>
          <w:tcPr>
            <w:tcW w:w="8562" w:type="dxa"/>
          </w:tcPr>
          <w:p w14:paraId="41D08B18" w14:textId="7D685096" w:rsidR="005C5DF8" w:rsidRPr="00804E37" w:rsidRDefault="00000000" w:rsidP="009D2C77">
            <w:pPr>
              <w:pStyle w:val="TableParagraph"/>
              <w:numPr>
                <w:ilvl w:val="0"/>
                <w:numId w:val="3"/>
              </w:numPr>
              <w:tabs>
                <w:tab w:val="left" w:pos="827"/>
              </w:tabs>
              <w:spacing w:line="22" w:lineRule="atLeast"/>
              <w:ind w:left="360" w:right="94" w:hanging="240"/>
              <w:jc w:val="both"/>
              <w:rPr>
                <w:rFonts w:ascii="Open Sans" w:hAnsi="Open Sans" w:cs="Open Sans"/>
                <w:color w:val="17365D" w:themeColor="text2" w:themeShade="BF"/>
              </w:rPr>
            </w:pPr>
            <w:r w:rsidRPr="00804E37">
              <w:rPr>
                <w:rFonts w:ascii="Open Sans" w:hAnsi="Open Sans" w:cs="Open Sans"/>
                <w:color w:val="17365D" w:themeColor="text2" w:themeShade="BF"/>
              </w:rPr>
              <w:t>Construirea și echiparea muzeu</w:t>
            </w:r>
            <w:r w:rsidR="00804E37" w:rsidRPr="00804E37">
              <w:rPr>
                <w:rFonts w:ascii="Open Sans" w:hAnsi="Open Sans" w:cs="Open Sans"/>
                <w:color w:val="17365D" w:themeColor="text2" w:themeShade="BF"/>
              </w:rPr>
              <w:t>lui</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interactiv</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al</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literaturii</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di</w:t>
            </w:r>
            <w:r w:rsidR="00804E37">
              <w:rPr>
                <w:rFonts w:ascii="Open Sans" w:hAnsi="Open Sans" w:cs="Open Sans"/>
                <w:color w:val="17365D" w:themeColor="text2" w:themeShade="BF"/>
              </w:rPr>
              <w:t xml:space="preserve">n </w:t>
            </w:r>
            <w:r w:rsidRPr="00804E37">
              <w:rPr>
                <w:rFonts w:ascii="Open Sans" w:hAnsi="Open Sans" w:cs="Open Sans"/>
                <w:color w:val="17365D" w:themeColor="text2" w:themeShade="BF"/>
              </w:rPr>
              <w:t>regiunea</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transfrontalieră,</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în</w:t>
            </w:r>
            <w:r w:rsidR="00804E37">
              <w:rPr>
                <w:rFonts w:ascii="Open Sans" w:hAnsi="Open Sans" w:cs="Open Sans"/>
                <w:color w:val="17365D" w:themeColor="text2" w:themeShade="BF"/>
              </w:rPr>
              <w:t xml:space="preserve"> </w:t>
            </w:r>
            <w:r w:rsidRPr="00804E37">
              <w:rPr>
                <w:rFonts w:ascii="Open Sans" w:hAnsi="Open Sans" w:cs="Open Sans"/>
                <w:color w:val="17365D" w:themeColor="text2" w:themeShade="BF"/>
              </w:rPr>
              <w:t>localitatea Nyíregyháza (HU)</w:t>
            </w:r>
            <w:r w:rsidR="00804E37">
              <w:rPr>
                <w:rFonts w:ascii="Open Sans" w:hAnsi="Open Sans" w:cs="Open Sans"/>
                <w:color w:val="17365D" w:themeColor="text2" w:themeShade="BF"/>
              </w:rPr>
              <w:t>;</w:t>
            </w:r>
          </w:p>
          <w:p w14:paraId="3AD0DC33" w14:textId="15360D6C" w:rsidR="005C5DF8" w:rsidRPr="009D2C77" w:rsidRDefault="00000000" w:rsidP="009D2C77">
            <w:pPr>
              <w:pStyle w:val="TableParagraph"/>
              <w:numPr>
                <w:ilvl w:val="0"/>
                <w:numId w:val="3"/>
              </w:numPr>
              <w:tabs>
                <w:tab w:val="left" w:pos="827"/>
              </w:tabs>
              <w:spacing w:line="22" w:lineRule="atLeast"/>
              <w:ind w:left="360" w:hanging="240"/>
              <w:rPr>
                <w:rFonts w:ascii="Open Sans" w:hAnsi="Open Sans" w:cs="Open Sans"/>
                <w:color w:val="17365D" w:themeColor="text2" w:themeShade="BF"/>
              </w:rPr>
            </w:pPr>
            <w:r w:rsidRPr="00EA2655">
              <w:rPr>
                <w:rFonts w:ascii="Open Sans" w:hAnsi="Open Sans" w:cs="Open Sans"/>
                <w:color w:val="17365D" w:themeColor="text2" w:themeShade="BF"/>
              </w:rPr>
              <w:t>Dezvoltarea de centre de media și marketing transfrontalier în Kisvárda,</w:t>
            </w:r>
            <w:r w:rsidR="009D2C77">
              <w:rPr>
                <w:rFonts w:ascii="Open Sans" w:hAnsi="Open Sans" w:cs="Open Sans"/>
                <w:color w:val="17365D" w:themeColor="text2" w:themeShade="BF"/>
              </w:rPr>
              <w:t xml:space="preserve"> </w:t>
            </w:r>
            <w:r w:rsidRPr="009D2C77">
              <w:rPr>
                <w:rFonts w:ascii="Open Sans" w:hAnsi="Open Sans" w:cs="Open Sans"/>
                <w:color w:val="17365D" w:themeColor="text2" w:themeShade="BF"/>
              </w:rPr>
              <w:t>Mátészalka</w:t>
            </w:r>
            <w:r w:rsidR="009D2C77" w:rsidRPr="009D2C77">
              <w:rPr>
                <w:rFonts w:ascii="Open Sans" w:hAnsi="Open Sans" w:cs="Open Sans"/>
                <w:color w:val="17365D" w:themeColor="text2" w:themeShade="BF"/>
              </w:rPr>
              <w:t xml:space="preserve"> </w:t>
            </w:r>
            <w:r w:rsidRPr="009D2C77">
              <w:rPr>
                <w:rFonts w:ascii="Open Sans" w:hAnsi="Open Sans" w:cs="Open Sans"/>
                <w:color w:val="17365D" w:themeColor="text2" w:themeShade="BF"/>
              </w:rPr>
              <w:t>și Fehérgyarmat (inclusiv echiparea corespunzătoare</w:t>
            </w:r>
            <w:r w:rsidR="009D2C77" w:rsidRPr="009D2C77">
              <w:rPr>
                <w:rFonts w:ascii="Open Sans" w:hAnsi="Open Sans" w:cs="Open Sans"/>
                <w:color w:val="17365D" w:themeColor="text2" w:themeShade="BF"/>
              </w:rPr>
              <w:t xml:space="preserve"> </w:t>
            </w:r>
            <w:r w:rsidRPr="009D2C77">
              <w:rPr>
                <w:rFonts w:ascii="Open Sans" w:hAnsi="Open Sans" w:cs="Open Sans"/>
                <w:color w:val="17365D" w:themeColor="text2" w:themeShade="BF"/>
              </w:rPr>
              <w:t>acestora)</w:t>
            </w:r>
            <w:r w:rsidR="009D2C77" w:rsidRPr="009D2C77">
              <w:rPr>
                <w:rFonts w:ascii="Open Sans" w:hAnsi="Open Sans" w:cs="Open Sans"/>
                <w:color w:val="17365D" w:themeColor="text2" w:themeShade="BF"/>
              </w:rPr>
              <w:t>;</w:t>
            </w:r>
          </w:p>
          <w:p w14:paraId="799C5156" w14:textId="71CB4C5E" w:rsidR="005C5DF8" w:rsidRPr="00EA2655" w:rsidRDefault="00000000" w:rsidP="009D2C77">
            <w:pPr>
              <w:pStyle w:val="TableParagraph"/>
              <w:numPr>
                <w:ilvl w:val="0"/>
                <w:numId w:val="3"/>
              </w:numPr>
              <w:tabs>
                <w:tab w:val="left" w:pos="826"/>
              </w:tabs>
              <w:spacing w:line="22" w:lineRule="atLeast"/>
              <w:ind w:left="359" w:hanging="240"/>
              <w:jc w:val="both"/>
              <w:rPr>
                <w:rFonts w:ascii="Open Sans" w:hAnsi="Open Sans" w:cs="Open Sans"/>
                <w:color w:val="17365D" w:themeColor="text2" w:themeShade="BF"/>
              </w:rPr>
            </w:pPr>
            <w:r w:rsidRPr="00EA2655">
              <w:rPr>
                <w:rFonts w:ascii="Open Sans" w:hAnsi="Open Sans" w:cs="Open Sans"/>
                <w:color w:val="17365D" w:themeColor="text2" w:themeShade="BF"/>
              </w:rPr>
              <w:t>Reabilitarea și modernizarea Muzeului Județean Satu Mare</w:t>
            </w:r>
            <w:r w:rsidR="009D2C77">
              <w:rPr>
                <w:rFonts w:ascii="Open Sans" w:hAnsi="Open Sans" w:cs="Open Sans"/>
                <w:color w:val="17365D" w:themeColor="text2" w:themeShade="BF"/>
              </w:rPr>
              <w:t>;</w:t>
            </w:r>
          </w:p>
          <w:p w14:paraId="7CE95503" w14:textId="77777777" w:rsidR="005C5DF8" w:rsidRPr="00EA2655" w:rsidRDefault="00000000" w:rsidP="009D2C77">
            <w:pPr>
              <w:pStyle w:val="TableParagraph"/>
              <w:numPr>
                <w:ilvl w:val="0"/>
                <w:numId w:val="3"/>
              </w:numPr>
              <w:tabs>
                <w:tab w:val="left" w:pos="827"/>
              </w:tabs>
              <w:spacing w:line="22" w:lineRule="atLeast"/>
              <w:ind w:left="360" w:right="93" w:hanging="240"/>
              <w:jc w:val="both"/>
              <w:rPr>
                <w:rFonts w:ascii="Open Sans" w:hAnsi="Open Sans" w:cs="Open Sans"/>
                <w:color w:val="17365D" w:themeColor="text2" w:themeShade="BF"/>
              </w:rPr>
            </w:pPr>
            <w:r w:rsidRPr="00EA2655">
              <w:rPr>
                <w:rFonts w:ascii="Open Sans" w:hAnsi="Open Sans" w:cs="Open Sans"/>
                <w:color w:val="17365D" w:themeColor="text2" w:themeShade="BF"/>
              </w:rPr>
              <w:t>Elaborarea conceptului de expoziție interactivă și a studiului de design (1 studiu privind dezvoltarea conținutului pentru expoziții interactive)</w:t>
            </w:r>
          </w:p>
          <w:p w14:paraId="1E6F4F33" w14:textId="1E589625" w:rsidR="005C5DF8" w:rsidRPr="00EA2655" w:rsidRDefault="00000000" w:rsidP="009D2C77">
            <w:pPr>
              <w:pStyle w:val="TableParagraph"/>
              <w:numPr>
                <w:ilvl w:val="0"/>
                <w:numId w:val="3"/>
              </w:numPr>
              <w:tabs>
                <w:tab w:val="left" w:pos="827"/>
              </w:tabs>
              <w:spacing w:line="22" w:lineRule="atLeast"/>
              <w:ind w:left="360" w:right="94" w:hanging="240"/>
              <w:jc w:val="both"/>
              <w:rPr>
                <w:rFonts w:ascii="Open Sans" w:hAnsi="Open Sans" w:cs="Open Sans"/>
                <w:color w:val="17365D" w:themeColor="text2" w:themeShade="BF"/>
              </w:rPr>
            </w:pPr>
            <w:r w:rsidRPr="00EA2655">
              <w:rPr>
                <w:rFonts w:ascii="Open Sans" w:hAnsi="Open Sans" w:cs="Open Sans"/>
                <w:color w:val="17365D" w:themeColor="text2" w:themeShade="BF"/>
              </w:rPr>
              <w:t xml:space="preserve">Dezvoltarea și implementarea unei metode „Învățare prin divertisment” pentru redescoperirea destinațiilor culturale și istorice din zona </w:t>
            </w:r>
            <w:r w:rsidR="009D2C77">
              <w:rPr>
                <w:rFonts w:ascii="Open Sans" w:hAnsi="Open Sans" w:cs="Open Sans"/>
                <w:color w:val="17365D" w:themeColor="text2" w:themeShade="BF"/>
              </w:rPr>
              <w:t>Sztamar – Satu Mare</w:t>
            </w:r>
            <w:r w:rsidRPr="00EA2655">
              <w:rPr>
                <w:rFonts w:ascii="Open Sans" w:hAnsi="Open Sans" w:cs="Open Sans"/>
                <w:color w:val="17365D" w:themeColor="text2" w:themeShade="BF"/>
              </w:rPr>
              <w:t>. Ca parte a acestei metode au fost dezvoltate atât o aplicație cât și un joc</w:t>
            </w:r>
            <w:r w:rsidR="009D2C77">
              <w:rPr>
                <w:rFonts w:ascii="Open Sans" w:hAnsi="Open Sans" w:cs="Open Sans"/>
                <w:color w:val="17365D" w:themeColor="text2" w:themeShade="BF"/>
              </w:rPr>
              <w:t>;</w:t>
            </w:r>
          </w:p>
          <w:p w14:paraId="7CBCDA10" w14:textId="73C0A9FA" w:rsidR="005C5DF8" w:rsidRPr="009D2C77" w:rsidRDefault="00000000" w:rsidP="009D2C77">
            <w:pPr>
              <w:pStyle w:val="TableParagraph"/>
              <w:numPr>
                <w:ilvl w:val="0"/>
                <w:numId w:val="3"/>
              </w:numPr>
              <w:tabs>
                <w:tab w:val="left" w:pos="826"/>
              </w:tabs>
              <w:spacing w:line="22" w:lineRule="atLeast"/>
              <w:ind w:left="359" w:hanging="240"/>
              <w:jc w:val="both"/>
              <w:rPr>
                <w:rFonts w:ascii="Open Sans" w:hAnsi="Open Sans" w:cs="Open Sans"/>
                <w:color w:val="17365D" w:themeColor="text2" w:themeShade="BF"/>
              </w:rPr>
            </w:pPr>
            <w:r w:rsidRPr="00EA2655">
              <w:rPr>
                <w:rFonts w:ascii="Open Sans" w:hAnsi="Open Sans" w:cs="Open Sans"/>
                <w:color w:val="17365D" w:themeColor="text2" w:themeShade="BF"/>
              </w:rPr>
              <w:t>Dezvoltarea unei aplicații, inclusiv adăugare de conținut, privind atracțiile</w:t>
            </w:r>
            <w:r w:rsidR="009D2C77">
              <w:rPr>
                <w:rFonts w:ascii="Open Sans" w:hAnsi="Open Sans" w:cs="Open Sans"/>
                <w:color w:val="17365D" w:themeColor="text2" w:themeShade="BF"/>
              </w:rPr>
              <w:t xml:space="preserve"> </w:t>
            </w:r>
            <w:r w:rsidRPr="009D2C77">
              <w:rPr>
                <w:rFonts w:ascii="Open Sans" w:hAnsi="Open Sans" w:cs="Open Sans"/>
                <w:color w:val="17365D" w:themeColor="text2" w:themeShade="BF"/>
              </w:rPr>
              <w:t>din regiunea țintă, ținutul istoric al Sătmarului</w:t>
            </w:r>
            <w:r w:rsidR="009D2C77" w:rsidRPr="009D2C77">
              <w:rPr>
                <w:rFonts w:ascii="Open Sans" w:hAnsi="Open Sans" w:cs="Open Sans"/>
                <w:color w:val="17365D" w:themeColor="text2" w:themeShade="BF"/>
              </w:rPr>
              <w:t>;</w:t>
            </w:r>
          </w:p>
          <w:p w14:paraId="7406952A" w14:textId="45A9B424" w:rsidR="005C5DF8" w:rsidRPr="00EA2655" w:rsidRDefault="00000000" w:rsidP="009D2C77">
            <w:pPr>
              <w:pStyle w:val="TableParagraph"/>
              <w:numPr>
                <w:ilvl w:val="0"/>
                <w:numId w:val="3"/>
              </w:numPr>
              <w:tabs>
                <w:tab w:val="left" w:pos="827"/>
              </w:tabs>
              <w:spacing w:line="22" w:lineRule="atLeast"/>
              <w:ind w:left="360" w:right="94" w:hanging="240"/>
              <w:jc w:val="both"/>
              <w:rPr>
                <w:rFonts w:ascii="Open Sans" w:hAnsi="Open Sans" w:cs="Open Sans"/>
                <w:color w:val="17365D" w:themeColor="text2" w:themeShade="BF"/>
              </w:rPr>
            </w:pPr>
            <w:r w:rsidRPr="00EA2655">
              <w:rPr>
                <w:rFonts w:ascii="Open Sans" w:hAnsi="Open Sans" w:cs="Open Sans"/>
                <w:color w:val="17365D" w:themeColor="text2" w:themeShade="BF"/>
              </w:rPr>
              <w:t>Crearea unui joc: „Joc cu comori”, 1 carte pentru vânătoarea de comori și 10 pachete de „jocuri cu comori” având ca temă atracțiile turistice din zonă și care vor fi disponibile în diferite locații culturale din zona țintă</w:t>
            </w:r>
            <w:r w:rsidR="009D2C77">
              <w:rPr>
                <w:rFonts w:ascii="Open Sans" w:hAnsi="Open Sans" w:cs="Open Sans"/>
                <w:color w:val="17365D" w:themeColor="text2" w:themeShade="BF"/>
              </w:rPr>
              <w:t>;</w:t>
            </w:r>
          </w:p>
          <w:p w14:paraId="3B95681D" w14:textId="1A709AE7" w:rsidR="005C5DF8" w:rsidRPr="00EA2655" w:rsidRDefault="00000000" w:rsidP="009D2C77">
            <w:pPr>
              <w:pStyle w:val="TableParagraph"/>
              <w:numPr>
                <w:ilvl w:val="0"/>
                <w:numId w:val="3"/>
              </w:numPr>
              <w:tabs>
                <w:tab w:val="left" w:pos="827"/>
              </w:tabs>
              <w:spacing w:line="22" w:lineRule="atLeast"/>
              <w:ind w:left="360" w:right="102" w:hanging="240"/>
              <w:jc w:val="both"/>
              <w:rPr>
                <w:rFonts w:ascii="Open Sans" w:hAnsi="Open Sans" w:cs="Open Sans"/>
                <w:color w:val="17365D" w:themeColor="text2" w:themeShade="BF"/>
              </w:rPr>
            </w:pPr>
            <w:r w:rsidRPr="00EA2655">
              <w:rPr>
                <w:rFonts w:ascii="Open Sans" w:hAnsi="Open Sans" w:cs="Open Sans"/>
                <w:color w:val="17365D" w:themeColor="text2" w:themeShade="BF"/>
              </w:rPr>
              <w:t>Dezvoltarea unui website, inclusiv adăugare de conținut, privind atracțiile din regiunea țintă, ținutul istoric al Sătmarului</w:t>
            </w:r>
            <w:r w:rsidR="009D2C77">
              <w:rPr>
                <w:rFonts w:ascii="Open Sans" w:hAnsi="Open Sans" w:cs="Open Sans"/>
                <w:color w:val="17365D" w:themeColor="text2" w:themeShade="BF"/>
              </w:rPr>
              <w:t>;</w:t>
            </w:r>
          </w:p>
          <w:p w14:paraId="6DC8041D" w14:textId="4D72B416" w:rsidR="005C5DF8" w:rsidRPr="00EA2655" w:rsidRDefault="00000000" w:rsidP="009D2C77">
            <w:pPr>
              <w:pStyle w:val="TableParagraph"/>
              <w:numPr>
                <w:ilvl w:val="0"/>
                <w:numId w:val="3"/>
              </w:numPr>
              <w:tabs>
                <w:tab w:val="left" w:pos="827"/>
              </w:tabs>
              <w:spacing w:line="22" w:lineRule="atLeast"/>
              <w:ind w:left="360" w:right="98" w:hanging="240"/>
              <w:jc w:val="both"/>
              <w:rPr>
                <w:rFonts w:ascii="Open Sans" w:hAnsi="Open Sans" w:cs="Open Sans"/>
                <w:color w:val="17365D" w:themeColor="text2" w:themeShade="BF"/>
              </w:rPr>
            </w:pPr>
            <w:r w:rsidRPr="00EA2655">
              <w:rPr>
                <w:rFonts w:ascii="Open Sans" w:hAnsi="Open Sans" w:cs="Open Sans"/>
                <w:color w:val="17365D" w:themeColor="text2" w:themeShade="BF"/>
              </w:rPr>
              <w:t>Elaborarea unui plan de marketing prin care să se promoveze atracțiile turistice din zona țintă</w:t>
            </w:r>
            <w:r w:rsidR="009D2C77">
              <w:rPr>
                <w:rFonts w:ascii="Open Sans" w:hAnsi="Open Sans" w:cs="Open Sans"/>
                <w:color w:val="17365D" w:themeColor="text2" w:themeShade="BF"/>
              </w:rPr>
              <w:t>;</w:t>
            </w:r>
          </w:p>
          <w:p w14:paraId="1001B50C" w14:textId="392A2FEB" w:rsidR="005C5DF8" w:rsidRPr="009D2C77" w:rsidRDefault="00000000" w:rsidP="009D2C77">
            <w:pPr>
              <w:pStyle w:val="TableParagraph"/>
              <w:numPr>
                <w:ilvl w:val="0"/>
                <w:numId w:val="3"/>
              </w:numPr>
              <w:tabs>
                <w:tab w:val="left" w:pos="826"/>
              </w:tabs>
              <w:spacing w:line="22" w:lineRule="atLeast"/>
              <w:ind w:left="359" w:hanging="240"/>
              <w:jc w:val="both"/>
              <w:rPr>
                <w:rFonts w:ascii="Open Sans" w:hAnsi="Open Sans" w:cs="Open Sans"/>
                <w:color w:val="17365D" w:themeColor="text2" w:themeShade="BF"/>
              </w:rPr>
            </w:pPr>
            <w:r w:rsidRPr="00EA2655">
              <w:rPr>
                <w:rFonts w:ascii="Open Sans" w:hAnsi="Open Sans" w:cs="Open Sans"/>
                <w:color w:val="17365D" w:themeColor="text2" w:themeShade="BF"/>
              </w:rPr>
              <w:t>Organizarea de expoziții la Muzeul Județean Satu Mare</w:t>
            </w:r>
            <w:r w:rsidR="009D2C77">
              <w:rPr>
                <w:rFonts w:ascii="Open Sans" w:hAnsi="Open Sans" w:cs="Open Sans"/>
                <w:color w:val="17365D" w:themeColor="text2" w:themeShade="BF"/>
              </w:rPr>
              <w:t>.</w:t>
            </w:r>
          </w:p>
        </w:tc>
      </w:tr>
      <w:tr w:rsidR="005C5DF8" w:rsidRPr="00EA2655" w14:paraId="6B0C5A07" w14:textId="77777777">
        <w:trPr>
          <w:trHeight w:val="2397"/>
        </w:trPr>
        <w:tc>
          <w:tcPr>
            <w:tcW w:w="1786" w:type="dxa"/>
            <w:shd w:val="clear" w:color="auto" w:fill="E7E6E6"/>
          </w:tcPr>
          <w:p w14:paraId="74320FB2" w14:textId="77777777" w:rsidR="005C5DF8" w:rsidRPr="00EA2655" w:rsidRDefault="005C5DF8" w:rsidP="00EA2655">
            <w:pPr>
              <w:pStyle w:val="TableParagraph"/>
              <w:spacing w:line="22" w:lineRule="atLeast"/>
              <w:ind w:left="0"/>
              <w:rPr>
                <w:rFonts w:ascii="Open Sans" w:hAnsi="Open Sans" w:cs="Open Sans"/>
                <w:color w:val="17365D" w:themeColor="text2" w:themeShade="BF"/>
              </w:rPr>
            </w:pPr>
          </w:p>
          <w:p w14:paraId="3F912749" w14:textId="77777777" w:rsidR="005C5DF8" w:rsidRPr="00EA2655" w:rsidRDefault="005C5DF8" w:rsidP="00EA2655">
            <w:pPr>
              <w:pStyle w:val="TableParagraph"/>
              <w:spacing w:line="22" w:lineRule="atLeast"/>
              <w:ind w:left="0"/>
              <w:rPr>
                <w:rFonts w:ascii="Open Sans" w:hAnsi="Open Sans" w:cs="Open Sans"/>
                <w:color w:val="17365D" w:themeColor="text2" w:themeShade="BF"/>
              </w:rPr>
            </w:pPr>
          </w:p>
          <w:p w14:paraId="3E9CECAB" w14:textId="77777777" w:rsidR="005C5DF8" w:rsidRPr="00EA2655" w:rsidRDefault="005C5DF8" w:rsidP="00EA2655">
            <w:pPr>
              <w:pStyle w:val="TableParagraph"/>
              <w:spacing w:line="22" w:lineRule="atLeast"/>
              <w:ind w:left="0"/>
              <w:rPr>
                <w:rFonts w:ascii="Open Sans" w:hAnsi="Open Sans" w:cs="Open Sans"/>
                <w:color w:val="17365D" w:themeColor="text2" w:themeShade="BF"/>
              </w:rPr>
            </w:pPr>
          </w:p>
          <w:p w14:paraId="25302B19" w14:textId="37A82638" w:rsidR="005C5DF8" w:rsidRPr="009D2C77" w:rsidRDefault="009D2C77" w:rsidP="00EA2655">
            <w:pPr>
              <w:pStyle w:val="TableParagraph"/>
              <w:spacing w:line="22" w:lineRule="atLeast"/>
              <w:rPr>
                <w:rFonts w:ascii="Open Sans" w:hAnsi="Open Sans" w:cs="Open Sans"/>
                <w:b/>
                <w:bCs/>
                <w:color w:val="17365D" w:themeColor="text2" w:themeShade="BF"/>
              </w:rPr>
            </w:pPr>
            <w:r>
              <w:rPr>
                <w:rFonts w:ascii="Open Sans" w:hAnsi="Open Sans" w:cs="Open Sans"/>
                <w:b/>
                <w:bCs/>
                <w:color w:val="17365D" w:themeColor="text2" w:themeShade="BF"/>
              </w:rPr>
              <w:t>R</w:t>
            </w:r>
            <w:r w:rsidRPr="009D2C77">
              <w:rPr>
                <w:rFonts w:ascii="Open Sans" w:hAnsi="Open Sans" w:cs="Open Sans"/>
                <w:b/>
                <w:bCs/>
                <w:color w:val="17365D" w:themeColor="text2" w:themeShade="BF"/>
              </w:rPr>
              <w:t>ezultate</w:t>
            </w:r>
            <w:r w:rsidRPr="009D2C77">
              <w:rPr>
                <w:rFonts w:ascii="Open Sans" w:hAnsi="Open Sans" w:cs="Open Sans"/>
                <w:b/>
                <w:bCs/>
                <w:color w:val="17365D" w:themeColor="text2" w:themeShade="BF"/>
              </w:rPr>
              <w:t xml:space="preserve"> </w:t>
            </w:r>
            <w:r>
              <w:rPr>
                <w:rFonts w:ascii="Open Sans" w:hAnsi="Open Sans" w:cs="Open Sans"/>
                <w:b/>
                <w:bCs/>
                <w:color w:val="17365D" w:themeColor="text2" w:themeShade="BF"/>
              </w:rPr>
              <w:t>p</w:t>
            </w:r>
            <w:r w:rsidR="00000000" w:rsidRPr="009D2C77">
              <w:rPr>
                <w:rFonts w:ascii="Open Sans" w:hAnsi="Open Sans" w:cs="Open Sans"/>
                <w:b/>
                <w:bCs/>
                <w:color w:val="17365D" w:themeColor="text2" w:themeShade="BF"/>
              </w:rPr>
              <w:t xml:space="preserve">rincipale </w:t>
            </w:r>
          </w:p>
        </w:tc>
        <w:tc>
          <w:tcPr>
            <w:tcW w:w="8562" w:type="dxa"/>
          </w:tcPr>
          <w:p w14:paraId="4E9DD7E3" w14:textId="5744AA58" w:rsidR="009D2C77" w:rsidRPr="009D2C77" w:rsidRDefault="009D2C77" w:rsidP="009D2C77">
            <w:pPr>
              <w:pStyle w:val="TableParagraph"/>
              <w:spacing w:line="22" w:lineRule="atLeast"/>
              <w:rPr>
                <w:rFonts w:ascii="Open Sans" w:hAnsi="Open Sans" w:cs="Open Sans"/>
                <w:b/>
                <w:bCs/>
                <w:color w:val="17365D" w:themeColor="text2" w:themeShade="BF"/>
              </w:rPr>
            </w:pPr>
            <w:r w:rsidRPr="009D2C77">
              <w:rPr>
                <w:rFonts w:ascii="Open Sans" w:hAnsi="Open Sans" w:cs="Open Sans"/>
                <w:b/>
                <w:bCs/>
                <w:color w:val="17365D" w:themeColor="text2" w:themeShade="BF"/>
              </w:rPr>
              <w:t>Livrabile:</w:t>
            </w:r>
          </w:p>
          <w:p w14:paraId="36295223" w14:textId="13B2D4E4" w:rsidR="009D2C77" w:rsidRP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1) 3 expoziții interactive înființate în Baktalórántháza, Érpatak și Nyíregyháza</w:t>
            </w:r>
          </w:p>
          <w:p w14:paraId="6A40E267" w14:textId="77777777" w:rsidR="009D2C77" w:rsidRP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2) 1 aplicație de înaltă calitate dezvoltată cu scopul de a prezenta atracțiile regiunii Szatmar - Satu-Mare</w:t>
            </w:r>
          </w:p>
          <w:p w14:paraId="563A7384" w14:textId="77777777" w:rsidR="009D2C77" w:rsidRP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3) 1 nou concept pentru expoziții muzeale dezvoltat în cadrul Muzeului Județean Satu-Mare</w:t>
            </w:r>
          </w:p>
          <w:p w14:paraId="1B6E7096" w14:textId="77777777" w:rsidR="009D2C77" w:rsidRP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4) 15 biserici, o plimbare istorică și un loc de odihnă pentru pelerini renovate și restaurate</w:t>
            </w:r>
          </w:p>
          <w:p w14:paraId="76E1F7F7" w14:textId="77777777" w:rsidR="009D2C77" w:rsidRP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5) 1 Eco-Centru dezvoltat și un centru pentru vizitatori pentru a expune valorile naturale ale regiunii și a proteja patrimoniul și valorile naturale comune ale regiunii</w:t>
            </w:r>
          </w:p>
          <w:p w14:paraId="55F2B7E3" w14:textId="77777777" w:rsidR="009D2C77" w:rsidRP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6) 3 centre media și de marketing transfrontaliere renovate și echipate în Kisvárda, Mátészalka și Fehérgyarmat</w:t>
            </w:r>
          </w:p>
          <w:p w14:paraId="103666A1" w14:textId="5B8574BA" w:rsidR="009D2C77" w:rsidRDefault="009D2C77" w:rsidP="009D2C77">
            <w:pPr>
              <w:pStyle w:val="TableParagraph"/>
              <w:spacing w:line="22" w:lineRule="atLeast"/>
              <w:rPr>
                <w:rFonts w:ascii="Open Sans" w:hAnsi="Open Sans" w:cs="Open Sans"/>
                <w:color w:val="17365D" w:themeColor="text2" w:themeShade="BF"/>
              </w:rPr>
            </w:pPr>
            <w:r w:rsidRPr="009D2C77">
              <w:rPr>
                <w:rFonts w:ascii="Open Sans" w:hAnsi="Open Sans" w:cs="Open Sans"/>
                <w:color w:val="17365D" w:themeColor="text2" w:themeShade="BF"/>
              </w:rPr>
              <w:t>7) 1 clădire a muzeului județean renovată și reorganizată în Satu-Mare</w:t>
            </w:r>
          </w:p>
          <w:p w14:paraId="50C1E22A" w14:textId="77777777" w:rsidR="00852AD5" w:rsidRDefault="00852AD5" w:rsidP="00EA2655">
            <w:pPr>
              <w:pStyle w:val="TableParagraph"/>
              <w:spacing w:line="22" w:lineRule="atLeast"/>
              <w:rPr>
                <w:rFonts w:ascii="Open Sans" w:hAnsi="Open Sans" w:cs="Open Sans"/>
                <w:b/>
                <w:bCs/>
                <w:color w:val="17365D" w:themeColor="text2" w:themeShade="BF"/>
              </w:rPr>
            </w:pPr>
          </w:p>
          <w:p w14:paraId="43F222CB" w14:textId="0F9E8E33" w:rsidR="005C5DF8" w:rsidRPr="009D2C77" w:rsidRDefault="009D2C77" w:rsidP="00EA2655">
            <w:pPr>
              <w:pStyle w:val="TableParagraph"/>
              <w:spacing w:line="22" w:lineRule="atLeast"/>
              <w:rPr>
                <w:rFonts w:ascii="Open Sans" w:hAnsi="Open Sans" w:cs="Open Sans"/>
                <w:b/>
                <w:bCs/>
                <w:color w:val="17365D" w:themeColor="text2" w:themeShade="BF"/>
              </w:rPr>
            </w:pPr>
            <w:r w:rsidRPr="009D2C77">
              <w:rPr>
                <w:rFonts w:ascii="Open Sans" w:hAnsi="Open Sans" w:cs="Open Sans"/>
                <w:b/>
                <w:bCs/>
                <w:color w:val="17365D" w:themeColor="text2" w:themeShade="BF"/>
              </w:rPr>
              <w:t>Investiții</w:t>
            </w:r>
            <w:r w:rsidR="00000000" w:rsidRPr="009D2C77">
              <w:rPr>
                <w:rFonts w:ascii="Open Sans" w:hAnsi="Open Sans" w:cs="Open Sans"/>
                <w:b/>
                <w:bCs/>
                <w:color w:val="17365D" w:themeColor="text2" w:themeShade="BF"/>
              </w:rPr>
              <w:t>:</w:t>
            </w:r>
          </w:p>
          <w:p w14:paraId="5262DB61" w14:textId="10E5691F" w:rsidR="005C5DF8" w:rsidRPr="00852AD5" w:rsidRDefault="00000000" w:rsidP="00852AD5">
            <w:pPr>
              <w:pStyle w:val="TableParagraph"/>
              <w:numPr>
                <w:ilvl w:val="0"/>
                <w:numId w:val="2"/>
              </w:numPr>
              <w:tabs>
                <w:tab w:val="left" w:pos="827"/>
              </w:tabs>
              <w:spacing w:line="22" w:lineRule="atLeast"/>
              <w:ind w:left="390" w:right="95" w:hanging="283"/>
              <w:jc w:val="both"/>
              <w:rPr>
                <w:rFonts w:ascii="Open Sans" w:hAnsi="Open Sans" w:cs="Open Sans"/>
                <w:color w:val="17365D" w:themeColor="text2" w:themeShade="BF"/>
              </w:rPr>
            </w:pPr>
            <w:r w:rsidRPr="009D2C77">
              <w:rPr>
                <w:rFonts w:ascii="Open Sans" w:hAnsi="Open Sans" w:cs="Open Sans"/>
                <w:b/>
                <w:bCs/>
                <w:color w:val="17365D" w:themeColor="text2" w:themeShade="BF"/>
              </w:rPr>
              <w:t>BL:</w:t>
            </w:r>
            <w:r w:rsidRPr="00EA2655">
              <w:rPr>
                <w:rFonts w:ascii="Open Sans" w:hAnsi="Open Sans" w:cs="Open Sans"/>
                <w:color w:val="17365D" w:themeColor="text2" w:themeShade="BF"/>
              </w:rPr>
              <w:t xml:space="preserve"> dezvoltarea unei destinații turistice culturale, istorice și religioase prin renovarea și restaurarea a 15 biserici, a unei alei istorice (promenadă) si a unei zone de relaxare pentru pelerine, situat în 17 locuri diferite din județul Szabolcs-SzatmárBereg: Kállósemjén, Kisvárda (două locații), Nagykálló, Eprejeske, Nagyar, Nyírbogát, Nyíribrony, Nyírtass, Székely, Ajak, Fényeslitke, Gávavencsalka, Mátészalka, Tarpa, Nyírbátor (2 locații).</w:t>
            </w:r>
            <w:r w:rsidR="00852AD5">
              <w:rPr>
                <w:rFonts w:ascii="Open Sans" w:hAnsi="Open Sans" w:cs="Open Sans"/>
                <w:color w:val="17365D" w:themeColor="text2" w:themeShade="BF"/>
              </w:rPr>
              <w:t xml:space="preserve"> </w:t>
            </w:r>
            <w:r w:rsidRPr="00852AD5">
              <w:rPr>
                <w:rFonts w:ascii="Open Sans" w:hAnsi="Open Sans" w:cs="Open Sans"/>
                <w:color w:val="17365D" w:themeColor="text2" w:themeShade="BF"/>
              </w:rPr>
              <w:t>Valoarea investiției: 5,13 mil. euro.</w:t>
            </w:r>
          </w:p>
          <w:p w14:paraId="1799C888" w14:textId="6798BF91" w:rsidR="009D2C77" w:rsidRPr="00015C0A" w:rsidRDefault="009D2C77" w:rsidP="00015C0A">
            <w:pPr>
              <w:pStyle w:val="TableParagraph"/>
              <w:numPr>
                <w:ilvl w:val="0"/>
                <w:numId w:val="1"/>
              </w:numPr>
              <w:tabs>
                <w:tab w:val="left" w:pos="826"/>
              </w:tabs>
              <w:spacing w:line="22" w:lineRule="atLeast"/>
              <w:ind w:left="359" w:hanging="239"/>
              <w:jc w:val="both"/>
              <w:rPr>
                <w:rFonts w:ascii="Open Sans" w:hAnsi="Open Sans" w:cs="Open Sans"/>
                <w:color w:val="17365D" w:themeColor="text2" w:themeShade="BF"/>
              </w:rPr>
            </w:pPr>
            <w:r w:rsidRPr="009D2C77">
              <w:rPr>
                <w:rFonts w:ascii="Open Sans" w:hAnsi="Open Sans" w:cs="Open Sans"/>
                <w:b/>
                <w:bCs/>
                <w:color w:val="17365D" w:themeColor="text2" w:themeShade="BF"/>
              </w:rPr>
              <w:t>PP2:</w:t>
            </w:r>
            <w:r w:rsidRPr="00EA2655">
              <w:rPr>
                <w:rFonts w:ascii="Open Sans" w:hAnsi="Open Sans" w:cs="Open Sans"/>
                <w:color w:val="17365D" w:themeColor="text2" w:themeShade="BF"/>
              </w:rPr>
              <w:t xml:space="preserve"> dezvoltarea destinațiilor culturale și istorice prin stabilirea a trei</w:t>
            </w:r>
            <w:r w:rsidR="00015C0A">
              <w:rPr>
                <w:rFonts w:ascii="Open Sans" w:hAnsi="Open Sans" w:cs="Open Sans"/>
                <w:color w:val="17365D" w:themeColor="text2" w:themeShade="BF"/>
              </w:rPr>
              <w:t xml:space="preserve"> </w:t>
            </w:r>
            <w:r w:rsidRPr="00015C0A">
              <w:rPr>
                <w:rFonts w:ascii="Open Sans" w:hAnsi="Open Sans" w:cs="Open Sans"/>
                <w:color w:val="17365D" w:themeColor="text2" w:themeShade="BF"/>
              </w:rPr>
              <w:t xml:space="preserve">expoziții interactive. Cele de la Baktalórántháza și Érpatak prezintă societatea și patrimoniul literar al regiunii, iar Muzeul Literar Nyíregyháza ajută la cunoașterea atât a autorilor români, cât și a celor maghiari, într-un mod interactiv, modern. </w:t>
            </w:r>
            <w:r w:rsidRPr="00015C0A">
              <w:rPr>
                <w:rFonts w:ascii="Open Sans" w:hAnsi="Open Sans" w:cs="Open Sans"/>
                <w:color w:val="17365D" w:themeColor="text2" w:themeShade="BF"/>
              </w:rPr>
              <w:lastRenderedPageBreak/>
              <w:t>Valoarea investiției: 2,44 mil. euro.</w:t>
            </w:r>
          </w:p>
          <w:p w14:paraId="18514776" w14:textId="70195D66" w:rsidR="009D2C77" w:rsidRPr="00015C0A" w:rsidRDefault="009D2C77" w:rsidP="00015C0A">
            <w:pPr>
              <w:pStyle w:val="TableParagraph"/>
              <w:numPr>
                <w:ilvl w:val="0"/>
                <w:numId w:val="1"/>
              </w:numPr>
              <w:tabs>
                <w:tab w:val="left" w:pos="826"/>
              </w:tabs>
              <w:spacing w:line="22" w:lineRule="atLeast"/>
              <w:ind w:left="359" w:hanging="239"/>
              <w:jc w:val="both"/>
              <w:rPr>
                <w:rFonts w:ascii="Open Sans" w:hAnsi="Open Sans" w:cs="Open Sans"/>
                <w:color w:val="17365D" w:themeColor="text2" w:themeShade="BF"/>
              </w:rPr>
            </w:pPr>
            <w:r w:rsidRPr="009D2C77">
              <w:rPr>
                <w:rFonts w:ascii="Open Sans" w:hAnsi="Open Sans" w:cs="Open Sans"/>
                <w:b/>
                <w:bCs/>
                <w:color w:val="17365D" w:themeColor="text2" w:themeShade="BF"/>
              </w:rPr>
              <w:t>PP3:</w:t>
            </w:r>
            <w:r w:rsidRPr="00EA2655">
              <w:rPr>
                <w:rFonts w:ascii="Open Sans" w:hAnsi="Open Sans" w:cs="Open Sans"/>
                <w:color w:val="17365D" w:themeColor="text2" w:themeShade="BF"/>
              </w:rPr>
              <w:t xml:space="preserve"> dezvoltarea unui Eco-Centru (Nagykálló-Harangod) având ca obiectiv</w:t>
            </w:r>
            <w:r w:rsidR="00015C0A">
              <w:rPr>
                <w:rFonts w:ascii="Open Sans" w:hAnsi="Open Sans" w:cs="Open Sans"/>
                <w:color w:val="17365D" w:themeColor="text2" w:themeShade="BF"/>
              </w:rPr>
              <w:t xml:space="preserve"> </w:t>
            </w:r>
            <w:r w:rsidRPr="00015C0A">
              <w:rPr>
                <w:rFonts w:ascii="Open Sans" w:hAnsi="Open Sans" w:cs="Open Sans"/>
                <w:color w:val="17365D" w:themeColor="text2" w:themeShade="BF"/>
              </w:rPr>
              <w:t>prezentarea valorilor naturale ale regiunii, protejarea și conservarea acestora. Dimensiunea ariei protejate, care include și parcul iazului Nagykálló-Harangod, măsoară mai multe hectare, iar investiția contribuie la o mai bună conservare a naturii. Valoarea investiției: 0,9 mil. euro.</w:t>
            </w:r>
          </w:p>
          <w:p w14:paraId="1B6DB583" w14:textId="77777777" w:rsidR="009D2C77" w:rsidRDefault="009D2C77" w:rsidP="00015C0A">
            <w:pPr>
              <w:pStyle w:val="TableParagraph"/>
              <w:numPr>
                <w:ilvl w:val="0"/>
                <w:numId w:val="6"/>
              </w:numPr>
              <w:spacing w:line="22" w:lineRule="atLeast"/>
              <w:ind w:right="93" w:hanging="239"/>
              <w:jc w:val="both"/>
              <w:rPr>
                <w:rFonts w:ascii="Open Sans" w:hAnsi="Open Sans" w:cs="Open Sans"/>
                <w:color w:val="17365D" w:themeColor="text2" w:themeShade="BF"/>
              </w:rPr>
            </w:pPr>
            <w:r w:rsidRPr="009D2C77">
              <w:rPr>
                <w:rFonts w:ascii="Open Sans" w:hAnsi="Open Sans" w:cs="Open Sans"/>
                <w:b/>
                <w:bCs/>
                <w:color w:val="17365D" w:themeColor="text2" w:themeShade="BF"/>
              </w:rPr>
              <w:t>Dezvoltarea unei rețele media</w:t>
            </w:r>
            <w:r w:rsidRPr="00EA2655">
              <w:rPr>
                <w:rFonts w:ascii="Open Sans" w:hAnsi="Open Sans" w:cs="Open Sans"/>
                <w:color w:val="17365D" w:themeColor="text2" w:themeShade="BF"/>
              </w:rPr>
              <w:t xml:space="preserve"> cu informații privind evenimentele</w:t>
            </w:r>
            <w:r>
              <w:rPr>
                <w:rFonts w:ascii="Open Sans" w:hAnsi="Open Sans" w:cs="Open Sans"/>
                <w:color w:val="17365D" w:themeColor="text2" w:themeShade="BF"/>
              </w:rPr>
              <w:t xml:space="preserve"> </w:t>
            </w:r>
            <w:r w:rsidRPr="00EA2655">
              <w:rPr>
                <w:rFonts w:ascii="Open Sans" w:hAnsi="Open Sans" w:cs="Open Sans"/>
                <w:color w:val="17365D" w:themeColor="text2" w:themeShade="BF"/>
              </w:rPr>
              <w:t>culturale locale, cu accent pe patrimoniul cultural comun, înființarea a trei centre media și de marketing în Kisvárda, Fehérgyarmat și Mátészalka, pentru promovarea destinațiilor turistice ale regiunii țintă. Valoarea investiției: 0,6 mil. euro.</w:t>
            </w:r>
          </w:p>
          <w:p w14:paraId="3356BB4C" w14:textId="4663569F" w:rsidR="009D2C77" w:rsidRPr="009D2C77" w:rsidRDefault="009D2C77" w:rsidP="00015C0A">
            <w:pPr>
              <w:pStyle w:val="TableParagraph"/>
              <w:numPr>
                <w:ilvl w:val="0"/>
                <w:numId w:val="6"/>
              </w:numPr>
              <w:spacing w:line="22" w:lineRule="atLeast"/>
              <w:ind w:right="93" w:hanging="240"/>
              <w:jc w:val="both"/>
              <w:rPr>
                <w:rFonts w:ascii="Open Sans" w:hAnsi="Open Sans" w:cs="Open Sans"/>
                <w:color w:val="17365D" w:themeColor="text2" w:themeShade="BF"/>
              </w:rPr>
            </w:pPr>
            <w:r w:rsidRPr="009D2C77">
              <w:rPr>
                <w:rFonts w:ascii="Open Sans" w:hAnsi="Open Sans" w:cs="Open Sans"/>
                <w:b/>
                <w:bCs/>
                <w:color w:val="17365D" w:themeColor="text2" w:themeShade="BF"/>
              </w:rPr>
              <w:t>PP4, PP5:</w:t>
            </w:r>
            <w:r w:rsidRPr="009D2C77">
              <w:rPr>
                <w:rFonts w:ascii="Open Sans" w:hAnsi="Open Sans" w:cs="Open Sans"/>
                <w:color w:val="17365D" w:themeColor="text2" w:themeShade="BF"/>
              </w:rPr>
              <w:t xml:space="preserve"> renovarea </w:t>
            </w:r>
            <w:r>
              <w:rPr>
                <w:rFonts w:ascii="Open Sans" w:hAnsi="Open Sans" w:cs="Open Sans"/>
                <w:color w:val="17365D" w:themeColor="text2" w:themeShade="BF"/>
              </w:rPr>
              <w:t>și</w:t>
            </w:r>
            <w:r w:rsidRPr="009D2C77">
              <w:rPr>
                <w:rFonts w:ascii="Open Sans" w:hAnsi="Open Sans" w:cs="Open Sans"/>
                <w:color w:val="17365D" w:themeColor="text2" w:themeShade="BF"/>
              </w:rPr>
              <w:t xml:space="preserve"> instalarea unui complex expozitional în cadrul</w:t>
            </w:r>
            <w:r>
              <w:rPr>
                <w:rFonts w:ascii="Open Sans" w:hAnsi="Open Sans" w:cs="Open Sans"/>
                <w:color w:val="17365D" w:themeColor="text2" w:themeShade="BF"/>
              </w:rPr>
              <w:t xml:space="preserve"> </w:t>
            </w:r>
            <w:r w:rsidRPr="009D2C77">
              <w:rPr>
                <w:rFonts w:ascii="Open Sans" w:hAnsi="Open Sans" w:cs="Open Sans"/>
                <w:color w:val="17365D" w:themeColor="text2" w:themeShade="BF"/>
              </w:rPr>
              <w:t>Muzeului Județean Satu Mare, monument arhitectural, astfel încât acesta să corespundă standardelor de înaltă calitate ale unui muzeu al secolului</w:t>
            </w:r>
            <w:r>
              <w:rPr>
                <w:rFonts w:ascii="Open Sans" w:hAnsi="Open Sans" w:cs="Open Sans"/>
                <w:color w:val="17365D" w:themeColor="text2" w:themeShade="BF"/>
              </w:rPr>
              <w:t xml:space="preserve"> </w:t>
            </w:r>
            <w:r w:rsidRPr="009D2C77">
              <w:rPr>
                <w:rFonts w:ascii="Open Sans" w:hAnsi="Open Sans" w:cs="Open Sans"/>
                <w:color w:val="17365D" w:themeColor="text2" w:themeShade="BF"/>
              </w:rPr>
              <w:t>XXI. Valoarea investiției: 3,2 mil. euro.</w:t>
            </w:r>
          </w:p>
          <w:p w14:paraId="215C276E" w14:textId="77777777" w:rsidR="009D2C77" w:rsidRPr="00EA2655" w:rsidRDefault="009D2C77" w:rsidP="009D2C77">
            <w:pPr>
              <w:pStyle w:val="TableParagraph"/>
              <w:spacing w:line="22" w:lineRule="atLeast"/>
              <w:ind w:left="0"/>
              <w:rPr>
                <w:rFonts w:ascii="Open Sans" w:hAnsi="Open Sans" w:cs="Open Sans"/>
                <w:color w:val="17365D" w:themeColor="text2" w:themeShade="BF"/>
              </w:rPr>
            </w:pPr>
          </w:p>
          <w:p w14:paraId="6761721D" w14:textId="77777777" w:rsidR="009D2C77" w:rsidRPr="00015C0A" w:rsidRDefault="009D2C77" w:rsidP="009D2C77">
            <w:pPr>
              <w:pStyle w:val="TableParagraph"/>
              <w:spacing w:line="22" w:lineRule="atLeast"/>
              <w:rPr>
                <w:rFonts w:ascii="Open Sans" w:hAnsi="Open Sans" w:cs="Open Sans"/>
                <w:b/>
                <w:bCs/>
                <w:color w:val="17365D" w:themeColor="text2" w:themeShade="BF"/>
              </w:rPr>
            </w:pPr>
            <w:r w:rsidRPr="00015C0A">
              <w:rPr>
                <w:rFonts w:ascii="Open Sans" w:hAnsi="Open Sans" w:cs="Open Sans"/>
                <w:b/>
                <w:bCs/>
                <w:color w:val="17365D" w:themeColor="text2" w:themeShade="BF"/>
              </w:rPr>
              <w:t>Activități soft:</w:t>
            </w:r>
          </w:p>
          <w:p w14:paraId="2063A37F" w14:textId="77777777" w:rsidR="009D2C77" w:rsidRPr="00EA2655" w:rsidRDefault="009D2C77" w:rsidP="00015C0A">
            <w:pPr>
              <w:pStyle w:val="TableParagraph"/>
              <w:numPr>
                <w:ilvl w:val="0"/>
                <w:numId w:val="1"/>
              </w:numPr>
              <w:spacing w:line="22" w:lineRule="atLeast"/>
              <w:ind w:left="300" w:hanging="180"/>
              <w:rPr>
                <w:rFonts w:ascii="Open Sans" w:hAnsi="Open Sans" w:cs="Open Sans"/>
                <w:color w:val="17365D" w:themeColor="text2" w:themeShade="BF"/>
              </w:rPr>
            </w:pPr>
            <w:r w:rsidRPr="00EA2655">
              <w:rPr>
                <w:rFonts w:ascii="Open Sans" w:hAnsi="Open Sans" w:cs="Open Sans"/>
                <w:color w:val="17365D" w:themeColor="text2" w:themeShade="BF"/>
              </w:rPr>
              <w:t>dezvoltarea de aplicații de telefonie mobilă,</w:t>
            </w:r>
          </w:p>
          <w:p w14:paraId="2983F443" w14:textId="77777777" w:rsidR="009D2C77" w:rsidRPr="00EA2655" w:rsidRDefault="009D2C77" w:rsidP="00015C0A">
            <w:pPr>
              <w:pStyle w:val="TableParagraph"/>
              <w:numPr>
                <w:ilvl w:val="0"/>
                <w:numId w:val="1"/>
              </w:numPr>
              <w:spacing w:line="22" w:lineRule="atLeast"/>
              <w:ind w:left="300" w:hanging="180"/>
              <w:rPr>
                <w:rFonts w:ascii="Open Sans" w:hAnsi="Open Sans" w:cs="Open Sans"/>
                <w:color w:val="17365D" w:themeColor="text2" w:themeShade="BF"/>
              </w:rPr>
            </w:pPr>
            <w:r w:rsidRPr="00EA2655">
              <w:rPr>
                <w:rFonts w:ascii="Open Sans" w:hAnsi="Open Sans" w:cs="Open Sans"/>
                <w:color w:val="17365D" w:themeColor="text2" w:themeShade="BF"/>
              </w:rPr>
              <w:t>bază IT (punct de acces integrat) și inițiative de marketing de tip</w:t>
            </w:r>
          </w:p>
          <w:p w14:paraId="463E7FDD" w14:textId="77777777" w:rsidR="009D2C77" w:rsidRPr="00EA2655" w:rsidRDefault="009D2C77" w:rsidP="00015C0A">
            <w:pPr>
              <w:pStyle w:val="TableParagraph"/>
              <w:numPr>
                <w:ilvl w:val="0"/>
                <w:numId w:val="1"/>
              </w:numPr>
              <w:spacing w:line="22" w:lineRule="atLeast"/>
              <w:ind w:left="300" w:hanging="180"/>
              <w:rPr>
                <w:rFonts w:ascii="Open Sans" w:hAnsi="Open Sans" w:cs="Open Sans"/>
                <w:color w:val="17365D" w:themeColor="text2" w:themeShade="BF"/>
              </w:rPr>
            </w:pPr>
            <w:r w:rsidRPr="00EA2655">
              <w:rPr>
                <w:rFonts w:ascii="Open Sans" w:hAnsi="Open Sans" w:cs="Open Sans"/>
                <w:color w:val="17365D" w:themeColor="text2" w:themeShade="BF"/>
              </w:rPr>
              <w:t>„umbrelă” pentru atracțiile turistice din zona țintă;</w:t>
            </w:r>
          </w:p>
          <w:p w14:paraId="78620E3A" w14:textId="77777777" w:rsidR="00015C0A" w:rsidRDefault="009D2C77" w:rsidP="00015C0A">
            <w:pPr>
              <w:pStyle w:val="TableParagraph"/>
              <w:numPr>
                <w:ilvl w:val="0"/>
                <w:numId w:val="1"/>
              </w:numPr>
              <w:spacing w:line="22" w:lineRule="atLeast"/>
              <w:ind w:left="300" w:right="99" w:hanging="180"/>
              <w:rPr>
                <w:rFonts w:ascii="Open Sans" w:hAnsi="Open Sans" w:cs="Open Sans"/>
                <w:color w:val="17365D" w:themeColor="text2" w:themeShade="BF"/>
              </w:rPr>
            </w:pPr>
            <w:r w:rsidRPr="00EA2655">
              <w:rPr>
                <w:rFonts w:ascii="Open Sans" w:hAnsi="Open Sans" w:cs="Open Sans"/>
                <w:color w:val="17365D" w:themeColor="text2" w:themeShade="BF"/>
              </w:rPr>
              <w:t xml:space="preserve">dezvoltarea conținutului interactiv al expozițiilor/ muzeelor; </w:t>
            </w:r>
          </w:p>
          <w:p w14:paraId="66BC0CBC" w14:textId="0C74D027" w:rsidR="009D2C77" w:rsidRPr="00EA2655" w:rsidRDefault="009D2C77" w:rsidP="00015C0A">
            <w:pPr>
              <w:pStyle w:val="TableParagraph"/>
              <w:numPr>
                <w:ilvl w:val="0"/>
                <w:numId w:val="1"/>
              </w:numPr>
              <w:spacing w:line="22" w:lineRule="atLeast"/>
              <w:ind w:left="300" w:right="99" w:hanging="180"/>
              <w:rPr>
                <w:rFonts w:ascii="Open Sans" w:hAnsi="Open Sans" w:cs="Open Sans"/>
                <w:color w:val="17365D" w:themeColor="text2" w:themeShade="BF"/>
              </w:rPr>
            </w:pPr>
            <w:r w:rsidRPr="00EA2655">
              <w:rPr>
                <w:rFonts w:ascii="Open Sans" w:hAnsi="Open Sans" w:cs="Open Sans"/>
                <w:color w:val="17365D" w:themeColor="text2" w:themeShade="BF"/>
              </w:rPr>
              <w:t>plan de marketing și comunicare.</w:t>
            </w:r>
          </w:p>
          <w:p w14:paraId="0F03530A" w14:textId="77777777" w:rsidR="00852AD5" w:rsidRDefault="00852AD5" w:rsidP="00852AD5">
            <w:pPr>
              <w:pStyle w:val="TableParagraph"/>
              <w:spacing w:line="22" w:lineRule="atLeast"/>
              <w:rPr>
                <w:rFonts w:ascii="Open Sans" w:hAnsi="Open Sans" w:cs="Open Sans"/>
                <w:color w:val="17365D" w:themeColor="text2" w:themeShade="BF"/>
              </w:rPr>
            </w:pPr>
          </w:p>
          <w:p w14:paraId="6E67A6D5" w14:textId="601133F6" w:rsidR="00852AD5" w:rsidRPr="00852AD5" w:rsidRDefault="00852AD5" w:rsidP="00852AD5">
            <w:pPr>
              <w:pStyle w:val="TableParagraph"/>
              <w:spacing w:line="22" w:lineRule="atLeast"/>
              <w:rPr>
                <w:rFonts w:ascii="Open Sans" w:hAnsi="Open Sans" w:cs="Open Sans"/>
                <w:b/>
                <w:bCs/>
                <w:color w:val="17365D" w:themeColor="text2" w:themeShade="BF"/>
              </w:rPr>
            </w:pPr>
            <w:r w:rsidRPr="00852AD5">
              <w:rPr>
                <w:rFonts w:ascii="Open Sans" w:hAnsi="Open Sans" w:cs="Open Sans"/>
                <w:b/>
                <w:bCs/>
                <w:color w:val="17365D" w:themeColor="text2" w:themeShade="BF"/>
              </w:rPr>
              <w:t>R</w:t>
            </w:r>
            <w:r w:rsidRPr="00852AD5">
              <w:rPr>
                <w:rFonts w:ascii="Open Sans" w:hAnsi="Open Sans" w:cs="Open Sans"/>
                <w:b/>
                <w:bCs/>
                <w:color w:val="17365D" w:themeColor="text2" w:themeShade="BF"/>
              </w:rPr>
              <w:t>ezultate</w:t>
            </w:r>
            <w:r w:rsidRPr="00852AD5">
              <w:rPr>
                <w:rFonts w:ascii="Open Sans" w:hAnsi="Open Sans" w:cs="Open Sans"/>
                <w:b/>
                <w:bCs/>
                <w:color w:val="17365D" w:themeColor="text2" w:themeShade="BF"/>
              </w:rPr>
              <w:t>:</w:t>
            </w:r>
          </w:p>
          <w:p w14:paraId="19783337" w14:textId="77777777" w:rsidR="00852AD5" w:rsidRPr="00852AD5" w:rsidRDefault="00852AD5" w:rsidP="00852AD5">
            <w:pPr>
              <w:pStyle w:val="TableParagraph"/>
              <w:spacing w:line="22" w:lineRule="atLeast"/>
              <w:rPr>
                <w:rFonts w:ascii="Open Sans" w:hAnsi="Open Sans" w:cs="Open Sans"/>
                <w:color w:val="17365D" w:themeColor="text2" w:themeShade="BF"/>
              </w:rPr>
            </w:pPr>
            <w:r w:rsidRPr="00852AD5">
              <w:rPr>
                <w:rFonts w:ascii="Open Sans" w:hAnsi="Open Sans" w:cs="Open Sans"/>
                <w:color w:val="17365D" w:themeColor="text2" w:themeShade="BF"/>
              </w:rPr>
              <w:t>1) Crearea unui complex integrat de atracții turistice în județul Szabolcs-Satu-Mare, inclusiv prin promovarea zonei Szatmar-Satu-Mare ca atracție turistică integrată;</w:t>
            </w:r>
          </w:p>
          <w:p w14:paraId="335185F2" w14:textId="77777777" w:rsidR="00852AD5" w:rsidRPr="00852AD5" w:rsidRDefault="00852AD5" w:rsidP="00852AD5">
            <w:pPr>
              <w:pStyle w:val="TableParagraph"/>
              <w:spacing w:line="22" w:lineRule="atLeast"/>
              <w:rPr>
                <w:rFonts w:ascii="Open Sans" w:hAnsi="Open Sans" w:cs="Open Sans"/>
                <w:color w:val="17365D" w:themeColor="text2" w:themeShade="BF"/>
              </w:rPr>
            </w:pPr>
            <w:r w:rsidRPr="00852AD5">
              <w:rPr>
                <w:rFonts w:ascii="Open Sans" w:hAnsi="Open Sans" w:cs="Open Sans"/>
                <w:color w:val="17365D" w:themeColor="text2" w:themeShade="BF"/>
              </w:rPr>
              <w:t>2) O metodă de „învățare prin divertisment” dezvoltată pentru redescoperirea destinațiilor culturale și istorice din zona Szatmar-Satu-Mare;</w:t>
            </w:r>
          </w:p>
          <w:p w14:paraId="5D9845D3" w14:textId="77777777" w:rsidR="00852AD5" w:rsidRDefault="00852AD5" w:rsidP="00852AD5">
            <w:pPr>
              <w:pStyle w:val="TableParagraph"/>
              <w:spacing w:line="22" w:lineRule="atLeast"/>
              <w:rPr>
                <w:rFonts w:ascii="Open Sans" w:hAnsi="Open Sans" w:cs="Open Sans"/>
                <w:color w:val="17365D" w:themeColor="text2" w:themeShade="BF"/>
              </w:rPr>
            </w:pPr>
            <w:r w:rsidRPr="00852AD5">
              <w:rPr>
                <w:rFonts w:ascii="Open Sans" w:hAnsi="Open Sans" w:cs="Open Sans"/>
                <w:color w:val="17365D" w:themeColor="text2" w:themeShade="BF"/>
              </w:rPr>
              <w:t>3) Comorile naturale și ariile naturale protejate sunt protejate prin intermediul unor instrumente ecoturistice;</w:t>
            </w:r>
          </w:p>
          <w:p w14:paraId="3560EED1" w14:textId="7EF0B8E5" w:rsidR="00015C0A" w:rsidRDefault="00852AD5" w:rsidP="00852AD5">
            <w:pPr>
              <w:pStyle w:val="TableParagraph"/>
              <w:spacing w:line="22" w:lineRule="atLeast"/>
              <w:rPr>
                <w:rFonts w:ascii="Open Sans" w:hAnsi="Open Sans" w:cs="Open Sans"/>
                <w:color w:val="17365D" w:themeColor="text2" w:themeShade="BF"/>
              </w:rPr>
            </w:pPr>
            <w:r w:rsidRPr="00852AD5">
              <w:rPr>
                <w:rFonts w:ascii="Open Sans" w:hAnsi="Open Sans" w:cs="Open Sans"/>
                <w:color w:val="17365D" w:themeColor="text2" w:themeShade="BF"/>
              </w:rPr>
              <w:t xml:space="preserve">4) Atractivitatea Muzeului Județean </w:t>
            </w:r>
            <w:r>
              <w:rPr>
                <w:rFonts w:ascii="Open Sans" w:hAnsi="Open Sans" w:cs="Open Sans"/>
                <w:color w:val="17365D" w:themeColor="text2" w:themeShade="BF"/>
              </w:rPr>
              <w:t>Satu Mare</w:t>
            </w:r>
            <w:r w:rsidRPr="00852AD5">
              <w:rPr>
                <w:rFonts w:ascii="Open Sans" w:hAnsi="Open Sans" w:cs="Open Sans"/>
                <w:color w:val="17365D" w:themeColor="text2" w:themeShade="BF"/>
              </w:rPr>
              <w:t xml:space="preserve"> a crescut printr-un nou concept de expoziții și renovări muzeale.</w:t>
            </w:r>
          </w:p>
          <w:p w14:paraId="374F8318" w14:textId="77777777" w:rsidR="00852AD5" w:rsidRDefault="00852AD5" w:rsidP="00852AD5">
            <w:pPr>
              <w:pStyle w:val="TableParagraph"/>
              <w:spacing w:line="22" w:lineRule="atLeast"/>
              <w:rPr>
                <w:rFonts w:ascii="Open Sans" w:hAnsi="Open Sans" w:cs="Open Sans"/>
                <w:color w:val="17365D" w:themeColor="text2" w:themeShade="BF"/>
              </w:rPr>
            </w:pPr>
          </w:p>
          <w:p w14:paraId="57418520" w14:textId="7347A7A1" w:rsidR="009D2C77" w:rsidRPr="00015C0A" w:rsidRDefault="00015C0A" w:rsidP="009D2C77">
            <w:pPr>
              <w:pStyle w:val="TableParagraph"/>
              <w:spacing w:line="22" w:lineRule="atLeast"/>
              <w:ind w:left="0"/>
              <w:rPr>
                <w:rFonts w:ascii="Open Sans" w:hAnsi="Open Sans" w:cs="Open Sans"/>
                <w:b/>
                <w:bCs/>
                <w:color w:val="17365D" w:themeColor="text2" w:themeShade="BF"/>
              </w:rPr>
            </w:pPr>
            <w:r>
              <w:rPr>
                <w:rFonts w:ascii="Open Sans" w:hAnsi="Open Sans" w:cs="Open Sans"/>
                <w:color w:val="17365D" w:themeColor="text2" w:themeShade="BF"/>
              </w:rPr>
              <w:t xml:space="preserve">  </w:t>
            </w:r>
            <w:r w:rsidRPr="00015C0A">
              <w:rPr>
                <w:rFonts w:ascii="Open Sans" w:hAnsi="Open Sans" w:cs="Open Sans"/>
                <w:b/>
                <w:bCs/>
                <w:color w:val="17365D" w:themeColor="text2" w:themeShade="BF"/>
              </w:rPr>
              <w:t>Principalul indicator de r</w:t>
            </w:r>
            <w:r w:rsidR="00852AD5">
              <w:rPr>
                <w:rFonts w:ascii="Open Sans" w:hAnsi="Open Sans" w:cs="Open Sans"/>
                <w:b/>
                <w:bCs/>
                <w:color w:val="17365D" w:themeColor="text2" w:themeShade="BF"/>
              </w:rPr>
              <w:t>ezultat</w:t>
            </w:r>
          </w:p>
          <w:p w14:paraId="079D0DFF" w14:textId="45B2065B" w:rsidR="009D2C77" w:rsidRDefault="009D2C77" w:rsidP="009D2C77">
            <w:pPr>
              <w:pStyle w:val="TableParagraph"/>
              <w:spacing w:line="22" w:lineRule="atLeast"/>
              <w:ind w:right="94"/>
              <w:jc w:val="both"/>
              <w:rPr>
                <w:rFonts w:ascii="Open Sans" w:hAnsi="Open Sans" w:cs="Open Sans"/>
                <w:color w:val="17365D" w:themeColor="text2" w:themeShade="BF"/>
              </w:rPr>
            </w:pPr>
            <w:r w:rsidRPr="00EA2655">
              <w:rPr>
                <w:rFonts w:ascii="Open Sans" w:hAnsi="Open Sans" w:cs="Open Sans"/>
                <w:color w:val="17365D" w:themeColor="text2" w:themeShade="BF"/>
              </w:rPr>
              <w:t xml:space="preserve">Indicatorul de rezultat al programului este CO09 </w:t>
            </w:r>
            <w:r w:rsidRPr="00EA2655">
              <w:rPr>
                <w:rFonts w:ascii="Open Sans" w:hAnsi="Open Sans" w:cs="Open Sans"/>
                <w:i/>
                <w:color w:val="17365D" w:themeColor="text2" w:themeShade="BF"/>
              </w:rPr>
              <w:t xml:space="preserve">Turism durabil: creșterea numărului așteptat de vizite la situri susținute de patrimoniu cultural și natural și atracții. </w:t>
            </w:r>
            <w:r w:rsidR="00015C0A">
              <w:rPr>
                <w:rFonts w:ascii="Open Sans" w:hAnsi="Open Sans" w:cs="Open Sans"/>
                <w:color w:val="17365D" w:themeColor="text2" w:themeShade="BF"/>
              </w:rPr>
              <w:t>P</w:t>
            </w:r>
            <w:r w:rsidRPr="00EA2655">
              <w:rPr>
                <w:rFonts w:ascii="Open Sans" w:hAnsi="Open Sans" w:cs="Open Sans"/>
                <w:color w:val="17365D" w:themeColor="text2" w:themeShade="BF"/>
              </w:rPr>
              <w:t xml:space="preserve">roiectul ROHU-456 a </w:t>
            </w:r>
            <w:r w:rsidR="00015C0A">
              <w:rPr>
                <w:rFonts w:ascii="Open Sans" w:hAnsi="Open Sans" w:cs="Open Sans"/>
                <w:color w:val="17365D" w:themeColor="text2" w:themeShade="BF"/>
              </w:rPr>
              <w:t>contribuit</w:t>
            </w:r>
            <w:r w:rsidRPr="00EA2655">
              <w:rPr>
                <w:rFonts w:ascii="Open Sans" w:hAnsi="Open Sans" w:cs="Open Sans"/>
                <w:color w:val="17365D" w:themeColor="text2" w:themeShade="BF"/>
              </w:rPr>
              <w:t xml:space="preserve"> </w:t>
            </w:r>
            <w:r w:rsidR="00015C0A">
              <w:rPr>
                <w:rFonts w:ascii="Open Sans" w:hAnsi="Open Sans" w:cs="Open Sans"/>
                <w:color w:val="17365D" w:themeColor="text2" w:themeShade="BF"/>
              </w:rPr>
              <w:t>prin creșterea la</w:t>
            </w:r>
            <w:r w:rsidRPr="00EA2655">
              <w:rPr>
                <w:rFonts w:ascii="Open Sans" w:hAnsi="Open Sans" w:cs="Open Sans"/>
                <w:color w:val="17365D" w:themeColor="text2" w:themeShade="BF"/>
              </w:rPr>
              <w:t xml:space="preserve"> 30.000 numărul de</w:t>
            </w:r>
            <w:r>
              <w:rPr>
                <w:rFonts w:ascii="Open Sans" w:hAnsi="Open Sans" w:cs="Open Sans"/>
                <w:color w:val="17365D" w:themeColor="text2" w:themeShade="BF"/>
              </w:rPr>
              <w:t xml:space="preserve"> </w:t>
            </w:r>
            <w:r w:rsidRPr="00EA2655">
              <w:rPr>
                <w:rFonts w:ascii="Open Sans" w:hAnsi="Open Sans" w:cs="Open Sans"/>
                <w:color w:val="17365D" w:themeColor="text2" w:themeShade="BF"/>
              </w:rPr>
              <w:t>vizite în zona țintă a proiectului, ținutul istoric al Sătmarului.</w:t>
            </w:r>
          </w:p>
          <w:p w14:paraId="2F2E9C4C" w14:textId="77777777" w:rsidR="009D2C77" w:rsidRPr="00EA2655" w:rsidRDefault="009D2C77" w:rsidP="009D2C77">
            <w:pPr>
              <w:pStyle w:val="TableParagraph"/>
              <w:spacing w:line="22" w:lineRule="atLeast"/>
              <w:ind w:left="0"/>
              <w:rPr>
                <w:rFonts w:ascii="Open Sans" w:hAnsi="Open Sans" w:cs="Open Sans"/>
                <w:color w:val="17365D" w:themeColor="text2" w:themeShade="BF"/>
              </w:rPr>
            </w:pPr>
          </w:p>
          <w:p w14:paraId="5DCF0C01" w14:textId="2A2ECCFA" w:rsidR="009D2C77" w:rsidRPr="00EA2655" w:rsidRDefault="009D2C77" w:rsidP="00852AD5">
            <w:pPr>
              <w:pStyle w:val="TableParagraph"/>
              <w:spacing w:line="22" w:lineRule="atLeast"/>
              <w:ind w:right="93"/>
              <w:jc w:val="both"/>
              <w:rPr>
                <w:rFonts w:ascii="Open Sans" w:hAnsi="Open Sans" w:cs="Open Sans"/>
                <w:color w:val="17365D" w:themeColor="text2" w:themeShade="BF"/>
              </w:rPr>
            </w:pPr>
            <w:hyperlink r:id="rId9">
              <w:r w:rsidRPr="00EA2655">
                <w:rPr>
                  <w:rFonts w:ascii="Open Sans" w:hAnsi="Open Sans" w:cs="Open Sans"/>
                  <w:color w:val="17365D" w:themeColor="text2" w:themeShade="BF"/>
                  <w:u w:val="single" w:color="0462C1"/>
                </w:rPr>
                <w:t>https://kolcseytv.hu/rohu456/</w:t>
              </w:r>
            </w:hyperlink>
            <w:r w:rsidRPr="00EA2655">
              <w:rPr>
                <w:rFonts w:ascii="Open Sans" w:hAnsi="Open Sans" w:cs="Open Sans"/>
                <w:color w:val="17365D" w:themeColor="text2" w:themeShade="BF"/>
              </w:rPr>
              <w:t xml:space="preserve"> </w:t>
            </w:r>
            <w:hyperlink r:id="rId10">
              <w:r w:rsidRPr="00EA2655">
                <w:rPr>
                  <w:rFonts w:ascii="Open Sans" w:hAnsi="Open Sans" w:cs="Open Sans"/>
                  <w:color w:val="17365D" w:themeColor="text2" w:themeShade="BF"/>
                  <w:u w:val="single" w:color="0462C1"/>
                </w:rPr>
                <w:t>https://www.muzeusm.ro/proiecteeuropene/proiecte-europene-actuale/</w:t>
              </w:r>
            </w:hyperlink>
            <w:r w:rsidRPr="00EA2655">
              <w:rPr>
                <w:rFonts w:ascii="Open Sans" w:hAnsi="Open Sans" w:cs="Open Sans"/>
                <w:color w:val="17365D" w:themeColor="text2" w:themeShade="BF"/>
              </w:rPr>
              <w:t xml:space="preserve"> </w:t>
            </w:r>
            <w:hyperlink r:id="rId11">
              <w:r w:rsidRPr="00EA2655">
                <w:rPr>
                  <w:rFonts w:ascii="Open Sans" w:hAnsi="Open Sans" w:cs="Open Sans"/>
                  <w:color w:val="17365D" w:themeColor="text2" w:themeShade="BF"/>
                  <w:u w:val="single" w:color="0462C1"/>
                </w:rPr>
                <w:t>https://www.szszbmo.hu/easydoor-rohu456</w:t>
              </w:r>
            </w:hyperlink>
            <w:r w:rsidRPr="00EA2655">
              <w:rPr>
                <w:rFonts w:ascii="Open Sans" w:hAnsi="Open Sans" w:cs="Open Sans"/>
                <w:color w:val="17365D" w:themeColor="text2" w:themeShade="BF"/>
              </w:rPr>
              <w:t xml:space="preserve"> </w:t>
            </w:r>
            <w:hyperlink r:id="rId12">
              <w:r w:rsidRPr="00EA2655">
                <w:rPr>
                  <w:rFonts w:ascii="Open Sans" w:hAnsi="Open Sans" w:cs="Open Sans"/>
                  <w:color w:val="17365D" w:themeColor="text2" w:themeShade="BF"/>
                  <w:u w:val="single" w:color="0462C1"/>
                </w:rPr>
                <w:t>http://szszbmfu.hu/Projekt/ROHU456/36</w:t>
              </w:r>
            </w:hyperlink>
          </w:p>
        </w:tc>
      </w:tr>
      <w:tr w:rsidR="005C5DF8" w:rsidRPr="00EA2655" w14:paraId="13EEF63A" w14:textId="77777777" w:rsidTr="00852AD5">
        <w:trPr>
          <w:trHeight w:val="860"/>
        </w:trPr>
        <w:tc>
          <w:tcPr>
            <w:tcW w:w="1786" w:type="dxa"/>
            <w:shd w:val="clear" w:color="auto" w:fill="E7E6E6"/>
          </w:tcPr>
          <w:p w14:paraId="10A0111C" w14:textId="195DE637" w:rsidR="005C5DF8" w:rsidRPr="009D2C77" w:rsidRDefault="00000000" w:rsidP="009D2C77">
            <w:pPr>
              <w:pStyle w:val="TableParagraph"/>
              <w:spacing w:line="22" w:lineRule="atLeast"/>
              <w:rPr>
                <w:rFonts w:ascii="Open Sans" w:hAnsi="Open Sans" w:cs="Open Sans"/>
                <w:b/>
                <w:bCs/>
                <w:color w:val="17365D" w:themeColor="text2" w:themeShade="BF"/>
              </w:rPr>
            </w:pPr>
            <w:r w:rsidRPr="009D2C77">
              <w:rPr>
                <w:rFonts w:ascii="Open Sans" w:hAnsi="Open Sans" w:cs="Open Sans"/>
                <w:b/>
                <w:bCs/>
                <w:color w:val="17365D" w:themeColor="text2" w:themeShade="BF"/>
              </w:rPr>
              <w:lastRenderedPageBreak/>
              <w:t>Nota conceptuală</w:t>
            </w:r>
            <w:r w:rsidR="009D2C77" w:rsidRPr="009D2C77">
              <w:rPr>
                <w:rFonts w:ascii="Open Sans" w:hAnsi="Open Sans" w:cs="Open Sans"/>
                <w:b/>
                <w:bCs/>
                <w:color w:val="17365D" w:themeColor="text2" w:themeShade="BF"/>
              </w:rPr>
              <w:t xml:space="preserve"> </w:t>
            </w:r>
            <w:r w:rsidR="009D2C77" w:rsidRPr="009D2C77">
              <w:rPr>
                <w:rFonts w:ascii="Open Sans" w:hAnsi="Open Sans" w:cs="Open Sans"/>
                <w:b/>
                <w:bCs/>
                <w:color w:val="17365D" w:themeColor="text2" w:themeShade="BF"/>
              </w:rPr>
              <w:t>ROHU-349 CN</w:t>
            </w:r>
            <w:r w:rsidR="00852AD5">
              <w:rPr>
                <w:rFonts w:ascii="Open Sans" w:hAnsi="Open Sans" w:cs="Open Sans"/>
                <w:b/>
                <w:bCs/>
                <w:color w:val="17365D" w:themeColor="text2" w:themeShade="BF"/>
              </w:rPr>
              <w:t>:</w:t>
            </w:r>
          </w:p>
        </w:tc>
        <w:tc>
          <w:tcPr>
            <w:tcW w:w="8562" w:type="dxa"/>
          </w:tcPr>
          <w:p w14:paraId="5C3EF371" w14:textId="77777777" w:rsidR="005C5DF8" w:rsidRPr="00EA2655" w:rsidRDefault="00000000" w:rsidP="00EA2655">
            <w:pPr>
              <w:pStyle w:val="TableParagraph"/>
              <w:spacing w:line="22" w:lineRule="atLeast"/>
              <w:ind w:right="1018"/>
              <w:rPr>
                <w:rFonts w:ascii="Open Sans" w:hAnsi="Open Sans" w:cs="Open Sans"/>
                <w:color w:val="17365D" w:themeColor="text2" w:themeShade="BF"/>
              </w:rPr>
            </w:pPr>
            <w:r w:rsidRPr="00EA2655">
              <w:rPr>
                <w:rFonts w:ascii="Open Sans" w:hAnsi="Open Sans" w:cs="Open Sans"/>
                <w:color w:val="17365D" w:themeColor="text2" w:themeShade="BF"/>
              </w:rPr>
              <w:t>Perioada de implementare: 01 Octombrie 2018 – 30 Noiembrie 2019 Buget total 348.825,98 euro, din care FEDR 296.502,07 euro.</w:t>
            </w:r>
          </w:p>
          <w:p w14:paraId="760E0BFE" w14:textId="77777777" w:rsidR="005C5DF8" w:rsidRPr="00EA2655" w:rsidRDefault="00000000" w:rsidP="00EA2655">
            <w:pPr>
              <w:pStyle w:val="TableParagraph"/>
              <w:spacing w:line="22" w:lineRule="atLeast"/>
              <w:rPr>
                <w:rFonts w:ascii="Open Sans" w:hAnsi="Open Sans" w:cs="Open Sans"/>
                <w:color w:val="17365D" w:themeColor="text2" w:themeShade="BF"/>
              </w:rPr>
            </w:pPr>
            <w:r w:rsidRPr="00EA2655">
              <w:rPr>
                <w:rFonts w:ascii="Open Sans" w:hAnsi="Open Sans" w:cs="Open Sans"/>
                <w:color w:val="17365D" w:themeColor="text2" w:themeShade="BF"/>
              </w:rPr>
              <w:t>Activități pentru elaborarea Aplicației Complete.</w:t>
            </w:r>
          </w:p>
        </w:tc>
      </w:tr>
    </w:tbl>
    <w:p w14:paraId="5168D8B9" w14:textId="77777777" w:rsidR="00E81EF9" w:rsidRDefault="00E81EF9"/>
    <w:sectPr w:rsidR="00E81EF9">
      <w:type w:val="continuous"/>
      <w:pgSz w:w="11910" w:h="16840"/>
      <w:pgMar w:top="1740" w:right="708" w:bottom="880" w:left="708" w:header="72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6714" w14:textId="77777777" w:rsidR="00E81EF9" w:rsidRDefault="00E81EF9">
      <w:r>
        <w:separator/>
      </w:r>
    </w:p>
  </w:endnote>
  <w:endnote w:type="continuationSeparator" w:id="0">
    <w:p w14:paraId="6FBF503E" w14:textId="77777777" w:rsidR="00E81EF9" w:rsidRDefault="00E8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E1CB" w14:textId="77777777" w:rsidR="005C5DF8" w:rsidRDefault="00000000">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14:anchorId="23A5822D" wp14:editId="1F7FCB4C">
              <wp:simplePos x="0" y="0"/>
              <wp:positionH relativeFrom="page">
                <wp:posOffset>5325236</wp:posOffset>
              </wp:positionH>
              <wp:positionV relativeFrom="page">
                <wp:posOffset>10108314</wp:posOffset>
              </wp:positionV>
              <wp:extent cx="1333500" cy="198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1E0503E3" w14:textId="77777777" w:rsidR="005C5DF8" w:rsidRDefault="00000000">
                          <w:pPr>
                            <w:spacing w:before="33"/>
                            <w:ind w:left="20"/>
                            <w:rPr>
                              <w:sz w:val="20"/>
                            </w:rPr>
                          </w:pPr>
                          <w:hyperlink r:id="rId1">
                            <w:r>
                              <w:rPr>
                                <w:color w:val="003399"/>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type w14:anchorId="23A5822D" id="_x0000_t202" coordsize="21600,21600" o:spt="202" path="m,l,21600r21600,l21600,xe">
              <v:stroke joinstyle="miter"/>
              <v:path gradientshapeok="t" o:connecttype="rect"/>
            </v:shapetype>
            <v:shape id="Textbox 9" o:spid="_x0000_s1026" type="#_x0000_t202" style="position:absolute;margin-left:419.3pt;margin-top:795.95pt;width:105pt;height:15.6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aMkwEAABsDAAAOAAAAZHJzL2Uyb0RvYy54bWysUsGO0zAQvSPxD5bv1Gkr0B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" filled="f" stroked="f">
              <v:textbox inset="0,0,0,0">
                <w:txbxContent>
                  <w:p w14:paraId="1E0503E3" w14:textId="77777777" w:rsidR="005C5DF8" w:rsidRDefault="00000000">
                    <w:pPr>
                      <w:spacing w:before="33"/>
                      <w:ind w:left="20"/>
                      <w:rPr>
                        <w:sz w:val="20"/>
                      </w:rPr>
                    </w:pPr>
                    <w:hyperlink r:id="rId2">
                      <w:r>
                        <w:rPr>
                          <w:color w:val="003399"/>
                          <w:sz w:val="20"/>
                        </w:rPr>
                        <w:t>www.interreg-</w:t>
                      </w:r>
                      <w:r>
                        <w:rPr>
                          <w:color w:val="003399"/>
                          <w:spacing w:val="-2"/>
                          <w:sz w:val="20"/>
                        </w:rPr>
                        <w:t>rohu.eu</w:t>
                      </w:r>
                    </w:hyperlink>
                  </w:p>
                </w:txbxContent>
              </v:textbox>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04A6D903" wp14:editId="0FDFF6A0">
              <wp:simplePos x="0" y="0"/>
              <wp:positionH relativeFrom="page">
                <wp:posOffset>902004</wp:posOffset>
              </wp:positionH>
              <wp:positionV relativeFrom="page">
                <wp:posOffset>10129215</wp:posOffset>
              </wp:positionV>
              <wp:extent cx="227012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6CECC00C" w14:textId="77777777" w:rsidR="005C5DF8"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wps:txbx>
                    <wps:bodyPr wrap="square" lIns="0" tIns="0" rIns="0" bIns="0" rtlCol="0">
                      <a:noAutofit/>
                    </wps:bodyPr>
                  </wps:wsp>
                </a:graphicData>
              </a:graphic>
            </wp:anchor>
          </w:drawing>
        </mc:Choice>
        <mc:Fallback>
          <w:pict>
            <v:shape w14:anchorId="04A6D903" id="Textbox 10" o:spid="_x0000_s1027" type="#_x0000_t202" style="position:absolute;margin-left:71pt;margin-top:797.6pt;width:178.75pt;height:14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" filled="f" stroked="f">
              <v:textbox inset="0,0,0,0">
                <w:txbxContent>
                  <w:p w14:paraId="6CECC00C" w14:textId="77777777" w:rsidR="005C5DF8"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38A7" w14:textId="77777777" w:rsidR="00E81EF9" w:rsidRDefault="00E81EF9">
      <w:r>
        <w:separator/>
      </w:r>
    </w:p>
  </w:footnote>
  <w:footnote w:type="continuationSeparator" w:id="0">
    <w:p w14:paraId="2D59BCDE" w14:textId="77777777" w:rsidR="00E81EF9" w:rsidRDefault="00E8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26FB" w14:textId="77777777" w:rsidR="005C5DF8" w:rsidRDefault="00000000">
    <w:pPr>
      <w:pStyle w:val="BodyText"/>
      <w:spacing w:line="14" w:lineRule="auto"/>
      <w:rPr>
        <w:sz w:val="20"/>
      </w:rPr>
    </w:pPr>
    <w:r>
      <w:rPr>
        <w:noProof/>
        <w:sz w:val="20"/>
      </w:rPr>
      <mc:AlternateContent>
        <mc:Choice Requires="wpg">
          <w:drawing>
            <wp:anchor distT="0" distB="0" distL="0" distR="0" simplePos="0" relativeHeight="251641856" behindDoc="1" locked="0" layoutInCell="1" allowOverlap="1" wp14:anchorId="27C3242F" wp14:editId="044FF120">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23A37B24" id="Group 1" o:spid="_x0000_s1026" style="position:absolute;margin-left:255.7pt;margin-top:36pt;width:33.55pt;height:22.4pt;z-index:-251674624;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46976" behindDoc="1" locked="0" layoutInCell="1" allowOverlap="1" wp14:anchorId="09E20822" wp14:editId="3F5EB9F9">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251652096" behindDoc="1" locked="0" layoutInCell="1" allowOverlap="1" wp14:anchorId="30115316" wp14:editId="23AD2D5D">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251657216" behindDoc="1" locked="0" layoutInCell="1" allowOverlap="1" wp14:anchorId="45B20F5E" wp14:editId="5B046708">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251662336" behindDoc="1" locked="0" layoutInCell="1" allowOverlap="1" wp14:anchorId="52F18E99" wp14:editId="17F8649E">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251667456" behindDoc="1" locked="0" layoutInCell="1" allowOverlap="1" wp14:anchorId="2F38BD7E" wp14:editId="2ECA582D">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EEB"/>
    <w:multiLevelType w:val="hybridMultilevel"/>
    <w:tmpl w:val="B97C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02043"/>
    <w:multiLevelType w:val="hybridMultilevel"/>
    <w:tmpl w:val="9F9460CA"/>
    <w:lvl w:ilvl="0" w:tplc="9B905DD8">
      <w:numFmt w:val="bullet"/>
      <w:lvlText w:val=""/>
      <w:lvlJc w:val="left"/>
      <w:pPr>
        <w:ind w:left="827" w:hanging="360"/>
      </w:pPr>
      <w:rPr>
        <w:rFonts w:ascii="Symbol" w:eastAsia="Symbol" w:hAnsi="Symbol" w:cs="Symbol" w:hint="default"/>
        <w:b w:val="0"/>
        <w:bCs w:val="0"/>
        <w:i w:val="0"/>
        <w:iCs w:val="0"/>
        <w:color w:val="003399"/>
        <w:spacing w:val="0"/>
        <w:w w:val="100"/>
        <w:sz w:val="22"/>
        <w:szCs w:val="22"/>
        <w:lang w:val="ro-RO" w:eastAsia="en-US" w:bidi="ar-SA"/>
      </w:rPr>
    </w:lvl>
    <w:lvl w:ilvl="1" w:tplc="C3F89C2C">
      <w:numFmt w:val="bullet"/>
      <w:lvlText w:val="•"/>
      <w:lvlJc w:val="left"/>
      <w:pPr>
        <w:ind w:left="1593" w:hanging="360"/>
      </w:pPr>
      <w:rPr>
        <w:rFonts w:hint="default"/>
        <w:lang w:val="ro-RO" w:eastAsia="en-US" w:bidi="ar-SA"/>
      </w:rPr>
    </w:lvl>
    <w:lvl w:ilvl="2" w:tplc="E150672A">
      <w:numFmt w:val="bullet"/>
      <w:lvlText w:val="•"/>
      <w:lvlJc w:val="left"/>
      <w:pPr>
        <w:ind w:left="2366" w:hanging="360"/>
      </w:pPr>
      <w:rPr>
        <w:rFonts w:hint="default"/>
        <w:lang w:val="ro-RO" w:eastAsia="en-US" w:bidi="ar-SA"/>
      </w:rPr>
    </w:lvl>
    <w:lvl w:ilvl="3" w:tplc="24BA4ED6">
      <w:numFmt w:val="bullet"/>
      <w:lvlText w:val="•"/>
      <w:lvlJc w:val="left"/>
      <w:pPr>
        <w:ind w:left="3139" w:hanging="360"/>
      </w:pPr>
      <w:rPr>
        <w:rFonts w:hint="default"/>
        <w:lang w:val="ro-RO" w:eastAsia="en-US" w:bidi="ar-SA"/>
      </w:rPr>
    </w:lvl>
    <w:lvl w:ilvl="4" w:tplc="D51E840E">
      <w:numFmt w:val="bullet"/>
      <w:lvlText w:val="•"/>
      <w:lvlJc w:val="left"/>
      <w:pPr>
        <w:ind w:left="3912" w:hanging="360"/>
      </w:pPr>
      <w:rPr>
        <w:rFonts w:hint="default"/>
        <w:lang w:val="ro-RO" w:eastAsia="en-US" w:bidi="ar-SA"/>
      </w:rPr>
    </w:lvl>
    <w:lvl w:ilvl="5" w:tplc="B3F8CF1E">
      <w:numFmt w:val="bullet"/>
      <w:lvlText w:val="•"/>
      <w:lvlJc w:val="left"/>
      <w:pPr>
        <w:ind w:left="4686" w:hanging="360"/>
      </w:pPr>
      <w:rPr>
        <w:rFonts w:hint="default"/>
        <w:lang w:val="ro-RO" w:eastAsia="en-US" w:bidi="ar-SA"/>
      </w:rPr>
    </w:lvl>
    <w:lvl w:ilvl="6" w:tplc="4C3C331C">
      <w:numFmt w:val="bullet"/>
      <w:lvlText w:val="•"/>
      <w:lvlJc w:val="left"/>
      <w:pPr>
        <w:ind w:left="5459" w:hanging="360"/>
      </w:pPr>
      <w:rPr>
        <w:rFonts w:hint="default"/>
        <w:lang w:val="ro-RO" w:eastAsia="en-US" w:bidi="ar-SA"/>
      </w:rPr>
    </w:lvl>
    <w:lvl w:ilvl="7" w:tplc="4482BE00">
      <w:numFmt w:val="bullet"/>
      <w:lvlText w:val="•"/>
      <w:lvlJc w:val="left"/>
      <w:pPr>
        <w:ind w:left="6232" w:hanging="360"/>
      </w:pPr>
      <w:rPr>
        <w:rFonts w:hint="default"/>
        <w:lang w:val="ro-RO" w:eastAsia="en-US" w:bidi="ar-SA"/>
      </w:rPr>
    </w:lvl>
    <w:lvl w:ilvl="8" w:tplc="89843240">
      <w:numFmt w:val="bullet"/>
      <w:lvlText w:val="•"/>
      <w:lvlJc w:val="left"/>
      <w:pPr>
        <w:ind w:left="7005" w:hanging="360"/>
      </w:pPr>
      <w:rPr>
        <w:rFonts w:hint="default"/>
        <w:lang w:val="ro-RO" w:eastAsia="en-US" w:bidi="ar-SA"/>
      </w:rPr>
    </w:lvl>
  </w:abstractNum>
  <w:abstractNum w:abstractNumId="2" w15:restartNumberingAfterBreak="0">
    <w:nsid w:val="3BDA4A99"/>
    <w:multiLevelType w:val="hybridMultilevel"/>
    <w:tmpl w:val="411AF3BC"/>
    <w:lvl w:ilvl="0" w:tplc="12582892">
      <w:numFmt w:val="bullet"/>
      <w:lvlText w:val="-"/>
      <w:lvlJc w:val="left"/>
      <w:pPr>
        <w:ind w:left="827" w:hanging="360"/>
      </w:pPr>
      <w:rPr>
        <w:rFonts w:ascii="Arial Black" w:eastAsia="Arial Black" w:hAnsi="Arial Black" w:cs="Arial Black" w:hint="default"/>
        <w:b w:val="0"/>
        <w:bCs w:val="0"/>
        <w:i w:val="0"/>
        <w:iCs w:val="0"/>
        <w:color w:val="003399"/>
        <w:spacing w:val="0"/>
        <w:w w:val="96"/>
        <w:sz w:val="22"/>
        <w:szCs w:val="22"/>
        <w:lang w:val="ro-RO" w:eastAsia="en-US" w:bidi="ar-SA"/>
      </w:rPr>
    </w:lvl>
    <w:lvl w:ilvl="1" w:tplc="DC483FD2">
      <w:numFmt w:val="bullet"/>
      <w:lvlText w:val="•"/>
      <w:lvlJc w:val="left"/>
      <w:pPr>
        <w:ind w:left="1593" w:hanging="360"/>
      </w:pPr>
      <w:rPr>
        <w:rFonts w:hint="default"/>
        <w:lang w:val="ro-RO" w:eastAsia="en-US" w:bidi="ar-SA"/>
      </w:rPr>
    </w:lvl>
    <w:lvl w:ilvl="2" w:tplc="DBB2F3D8">
      <w:numFmt w:val="bullet"/>
      <w:lvlText w:val="•"/>
      <w:lvlJc w:val="left"/>
      <w:pPr>
        <w:ind w:left="2366" w:hanging="360"/>
      </w:pPr>
      <w:rPr>
        <w:rFonts w:hint="default"/>
        <w:lang w:val="ro-RO" w:eastAsia="en-US" w:bidi="ar-SA"/>
      </w:rPr>
    </w:lvl>
    <w:lvl w:ilvl="3" w:tplc="3B1878B4">
      <w:numFmt w:val="bullet"/>
      <w:lvlText w:val="•"/>
      <w:lvlJc w:val="left"/>
      <w:pPr>
        <w:ind w:left="3139" w:hanging="360"/>
      </w:pPr>
      <w:rPr>
        <w:rFonts w:hint="default"/>
        <w:lang w:val="ro-RO" w:eastAsia="en-US" w:bidi="ar-SA"/>
      </w:rPr>
    </w:lvl>
    <w:lvl w:ilvl="4" w:tplc="F134F562">
      <w:numFmt w:val="bullet"/>
      <w:lvlText w:val="•"/>
      <w:lvlJc w:val="left"/>
      <w:pPr>
        <w:ind w:left="3912" w:hanging="360"/>
      </w:pPr>
      <w:rPr>
        <w:rFonts w:hint="default"/>
        <w:lang w:val="ro-RO" w:eastAsia="en-US" w:bidi="ar-SA"/>
      </w:rPr>
    </w:lvl>
    <w:lvl w:ilvl="5" w:tplc="4C328A6A">
      <w:numFmt w:val="bullet"/>
      <w:lvlText w:val="•"/>
      <w:lvlJc w:val="left"/>
      <w:pPr>
        <w:ind w:left="4686" w:hanging="360"/>
      </w:pPr>
      <w:rPr>
        <w:rFonts w:hint="default"/>
        <w:lang w:val="ro-RO" w:eastAsia="en-US" w:bidi="ar-SA"/>
      </w:rPr>
    </w:lvl>
    <w:lvl w:ilvl="6" w:tplc="6C7679D2">
      <w:numFmt w:val="bullet"/>
      <w:lvlText w:val="•"/>
      <w:lvlJc w:val="left"/>
      <w:pPr>
        <w:ind w:left="5459" w:hanging="360"/>
      </w:pPr>
      <w:rPr>
        <w:rFonts w:hint="default"/>
        <w:lang w:val="ro-RO" w:eastAsia="en-US" w:bidi="ar-SA"/>
      </w:rPr>
    </w:lvl>
    <w:lvl w:ilvl="7" w:tplc="E96C6D80">
      <w:numFmt w:val="bullet"/>
      <w:lvlText w:val="•"/>
      <w:lvlJc w:val="left"/>
      <w:pPr>
        <w:ind w:left="6232" w:hanging="360"/>
      </w:pPr>
      <w:rPr>
        <w:rFonts w:hint="default"/>
        <w:lang w:val="ro-RO" w:eastAsia="en-US" w:bidi="ar-SA"/>
      </w:rPr>
    </w:lvl>
    <w:lvl w:ilvl="8" w:tplc="588209F4">
      <w:numFmt w:val="bullet"/>
      <w:lvlText w:val="•"/>
      <w:lvlJc w:val="left"/>
      <w:pPr>
        <w:ind w:left="7005" w:hanging="360"/>
      </w:pPr>
      <w:rPr>
        <w:rFonts w:hint="default"/>
        <w:lang w:val="ro-RO" w:eastAsia="en-US" w:bidi="ar-SA"/>
      </w:rPr>
    </w:lvl>
  </w:abstractNum>
  <w:abstractNum w:abstractNumId="3" w15:restartNumberingAfterBreak="0">
    <w:nsid w:val="44AA7FF0"/>
    <w:multiLevelType w:val="hybridMultilevel"/>
    <w:tmpl w:val="F7D442FA"/>
    <w:lvl w:ilvl="0" w:tplc="CE2273E4">
      <w:numFmt w:val="bullet"/>
      <w:lvlText w:val="-"/>
      <w:lvlJc w:val="left"/>
      <w:pPr>
        <w:ind w:left="467" w:hanging="360"/>
      </w:pPr>
      <w:rPr>
        <w:rFonts w:ascii="Arial Black" w:eastAsia="Arial Black" w:hAnsi="Arial Black" w:cs="Arial Black" w:hint="default"/>
        <w:b w:val="0"/>
        <w:bCs w:val="0"/>
        <w:i w:val="0"/>
        <w:iCs w:val="0"/>
        <w:color w:val="003399"/>
        <w:spacing w:val="0"/>
        <w:w w:val="96"/>
        <w:sz w:val="22"/>
        <w:szCs w:val="22"/>
        <w:lang w:val="ro-RO" w:eastAsia="en-US" w:bidi="ar-SA"/>
      </w:rPr>
    </w:lvl>
    <w:lvl w:ilvl="1" w:tplc="5288A368">
      <w:numFmt w:val="bullet"/>
      <w:lvlText w:val="•"/>
      <w:lvlJc w:val="left"/>
      <w:pPr>
        <w:ind w:left="1233" w:hanging="360"/>
      </w:pPr>
      <w:rPr>
        <w:rFonts w:hint="default"/>
        <w:lang w:val="ro-RO" w:eastAsia="en-US" w:bidi="ar-SA"/>
      </w:rPr>
    </w:lvl>
    <w:lvl w:ilvl="2" w:tplc="7818B9B6">
      <w:numFmt w:val="bullet"/>
      <w:lvlText w:val="•"/>
      <w:lvlJc w:val="left"/>
      <w:pPr>
        <w:ind w:left="2006" w:hanging="360"/>
      </w:pPr>
      <w:rPr>
        <w:rFonts w:hint="default"/>
        <w:lang w:val="ro-RO" w:eastAsia="en-US" w:bidi="ar-SA"/>
      </w:rPr>
    </w:lvl>
    <w:lvl w:ilvl="3" w:tplc="2F10DCAE">
      <w:numFmt w:val="bullet"/>
      <w:lvlText w:val="•"/>
      <w:lvlJc w:val="left"/>
      <w:pPr>
        <w:ind w:left="2779" w:hanging="360"/>
      </w:pPr>
      <w:rPr>
        <w:rFonts w:hint="default"/>
        <w:lang w:val="ro-RO" w:eastAsia="en-US" w:bidi="ar-SA"/>
      </w:rPr>
    </w:lvl>
    <w:lvl w:ilvl="4" w:tplc="8214D942">
      <w:numFmt w:val="bullet"/>
      <w:lvlText w:val="•"/>
      <w:lvlJc w:val="left"/>
      <w:pPr>
        <w:ind w:left="3552" w:hanging="360"/>
      </w:pPr>
      <w:rPr>
        <w:rFonts w:hint="default"/>
        <w:lang w:val="ro-RO" w:eastAsia="en-US" w:bidi="ar-SA"/>
      </w:rPr>
    </w:lvl>
    <w:lvl w:ilvl="5" w:tplc="438CB3DA">
      <w:numFmt w:val="bullet"/>
      <w:lvlText w:val="•"/>
      <w:lvlJc w:val="left"/>
      <w:pPr>
        <w:ind w:left="4326" w:hanging="360"/>
      </w:pPr>
      <w:rPr>
        <w:rFonts w:hint="default"/>
        <w:lang w:val="ro-RO" w:eastAsia="en-US" w:bidi="ar-SA"/>
      </w:rPr>
    </w:lvl>
    <w:lvl w:ilvl="6" w:tplc="24E03082">
      <w:numFmt w:val="bullet"/>
      <w:lvlText w:val="•"/>
      <w:lvlJc w:val="left"/>
      <w:pPr>
        <w:ind w:left="5099" w:hanging="360"/>
      </w:pPr>
      <w:rPr>
        <w:rFonts w:hint="default"/>
        <w:lang w:val="ro-RO" w:eastAsia="en-US" w:bidi="ar-SA"/>
      </w:rPr>
    </w:lvl>
    <w:lvl w:ilvl="7" w:tplc="446AE6BA">
      <w:numFmt w:val="bullet"/>
      <w:lvlText w:val="•"/>
      <w:lvlJc w:val="left"/>
      <w:pPr>
        <w:ind w:left="5872" w:hanging="360"/>
      </w:pPr>
      <w:rPr>
        <w:rFonts w:hint="default"/>
        <w:lang w:val="ro-RO" w:eastAsia="en-US" w:bidi="ar-SA"/>
      </w:rPr>
    </w:lvl>
    <w:lvl w:ilvl="8" w:tplc="13526E7A">
      <w:numFmt w:val="bullet"/>
      <w:lvlText w:val="•"/>
      <w:lvlJc w:val="left"/>
      <w:pPr>
        <w:ind w:left="6645" w:hanging="360"/>
      </w:pPr>
      <w:rPr>
        <w:rFonts w:hint="default"/>
        <w:lang w:val="ro-RO" w:eastAsia="en-US" w:bidi="ar-SA"/>
      </w:rPr>
    </w:lvl>
  </w:abstractNum>
  <w:abstractNum w:abstractNumId="4" w15:restartNumberingAfterBreak="0">
    <w:nsid w:val="68031178"/>
    <w:multiLevelType w:val="hybridMultilevel"/>
    <w:tmpl w:val="AE64C3D2"/>
    <w:lvl w:ilvl="0" w:tplc="CE4CB51A">
      <w:numFmt w:val="bullet"/>
      <w:lvlText w:val=""/>
      <w:lvlJc w:val="left"/>
      <w:pPr>
        <w:ind w:left="827" w:hanging="360"/>
      </w:pPr>
      <w:rPr>
        <w:rFonts w:ascii="Symbol" w:eastAsia="Symbol" w:hAnsi="Symbol" w:cs="Symbol" w:hint="default"/>
        <w:b w:val="0"/>
        <w:bCs w:val="0"/>
        <w:i w:val="0"/>
        <w:iCs w:val="0"/>
        <w:color w:val="003399"/>
        <w:spacing w:val="0"/>
        <w:w w:val="100"/>
        <w:sz w:val="22"/>
        <w:szCs w:val="22"/>
        <w:lang w:val="ro-RO" w:eastAsia="en-US" w:bidi="ar-SA"/>
      </w:rPr>
    </w:lvl>
    <w:lvl w:ilvl="1" w:tplc="1AF69BFA">
      <w:numFmt w:val="bullet"/>
      <w:lvlText w:val="•"/>
      <w:lvlJc w:val="left"/>
      <w:pPr>
        <w:ind w:left="1593" w:hanging="360"/>
      </w:pPr>
      <w:rPr>
        <w:rFonts w:hint="default"/>
        <w:lang w:val="ro-RO" w:eastAsia="en-US" w:bidi="ar-SA"/>
      </w:rPr>
    </w:lvl>
    <w:lvl w:ilvl="2" w:tplc="2C3ECDCE">
      <w:numFmt w:val="bullet"/>
      <w:lvlText w:val="•"/>
      <w:lvlJc w:val="left"/>
      <w:pPr>
        <w:ind w:left="2366" w:hanging="360"/>
      </w:pPr>
      <w:rPr>
        <w:rFonts w:hint="default"/>
        <w:lang w:val="ro-RO" w:eastAsia="en-US" w:bidi="ar-SA"/>
      </w:rPr>
    </w:lvl>
    <w:lvl w:ilvl="3" w:tplc="149E58A8">
      <w:numFmt w:val="bullet"/>
      <w:lvlText w:val="•"/>
      <w:lvlJc w:val="left"/>
      <w:pPr>
        <w:ind w:left="3139" w:hanging="360"/>
      </w:pPr>
      <w:rPr>
        <w:rFonts w:hint="default"/>
        <w:lang w:val="ro-RO" w:eastAsia="en-US" w:bidi="ar-SA"/>
      </w:rPr>
    </w:lvl>
    <w:lvl w:ilvl="4" w:tplc="AD80AAB8">
      <w:numFmt w:val="bullet"/>
      <w:lvlText w:val="•"/>
      <w:lvlJc w:val="left"/>
      <w:pPr>
        <w:ind w:left="3912" w:hanging="360"/>
      </w:pPr>
      <w:rPr>
        <w:rFonts w:hint="default"/>
        <w:lang w:val="ro-RO" w:eastAsia="en-US" w:bidi="ar-SA"/>
      </w:rPr>
    </w:lvl>
    <w:lvl w:ilvl="5" w:tplc="C3AC58B2">
      <w:numFmt w:val="bullet"/>
      <w:lvlText w:val="•"/>
      <w:lvlJc w:val="left"/>
      <w:pPr>
        <w:ind w:left="4686" w:hanging="360"/>
      </w:pPr>
      <w:rPr>
        <w:rFonts w:hint="default"/>
        <w:lang w:val="ro-RO" w:eastAsia="en-US" w:bidi="ar-SA"/>
      </w:rPr>
    </w:lvl>
    <w:lvl w:ilvl="6" w:tplc="0DE66CBE">
      <w:numFmt w:val="bullet"/>
      <w:lvlText w:val="•"/>
      <w:lvlJc w:val="left"/>
      <w:pPr>
        <w:ind w:left="5459" w:hanging="360"/>
      </w:pPr>
      <w:rPr>
        <w:rFonts w:hint="default"/>
        <w:lang w:val="ro-RO" w:eastAsia="en-US" w:bidi="ar-SA"/>
      </w:rPr>
    </w:lvl>
    <w:lvl w:ilvl="7" w:tplc="3E7A55EC">
      <w:numFmt w:val="bullet"/>
      <w:lvlText w:val="•"/>
      <w:lvlJc w:val="left"/>
      <w:pPr>
        <w:ind w:left="6232" w:hanging="360"/>
      </w:pPr>
      <w:rPr>
        <w:rFonts w:hint="default"/>
        <w:lang w:val="ro-RO" w:eastAsia="en-US" w:bidi="ar-SA"/>
      </w:rPr>
    </w:lvl>
    <w:lvl w:ilvl="8" w:tplc="CBEE21A0">
      <w:numFmt w:val="bullet"/>
      <w:lvlText w:val="•"/>
      <w:lvlJc w:val="left"/>
      <w:pPr>
        <w:ind w:left="7005" w:hanging="360"/>
      </w:pPr>
      <w:rPr>
        <w:rFonts w:hint="default"/>
        <w:lang w:val="ro-RO" w:eastAsia="en-US" w:bidi="ar-SA"/>
      </w:rPr>
    </w:lvl>
  </w:abstractNum>
  <w:abstractNum w:abstractNumId="5" w15:restartNumberingAfterBreak="0">
    <w:nsid w:val="76B41D7D"/>
    <w:multiLevelType w:val="hybridMultilevel"/>
    <w:tmpl w:val="D14C0B88"/>
    <w:lvl w:ilvl="0" w:tplc="C34E1094">
      <w:numFmt w:val="bullet"/>
      <w:lvlText w:val=""/>
      <w:lvlJc w:val="left"/>
      <w:pPr>
        <w:ind w:left="467" w:hanging="360"/>
      </w:pPr>
      <w:rPr>
        <w:rFonts w:ascii="Symbol" w:eastAsia="Symbol" w:hAnsi="Symbol" w:cs="Symbol" w:hint="default"/>
        <w:b w:val="0"/>
        <w:bCs w:val="0"/>
        <w:i w:val="0"/>
        <w:iCs w:val="0"/>
        <w:color w:val="003399"/>
        <w:spacing w:val="0"/>
        <w:w w:val="100"/>
        <w:sz w:val="22"/>
        <w:szCs w:val="22"/>
        <w:lang w:val="ro-RO" w:eastAsia="en-US" w:bidi="ar-SA"/>
      </w:rPr>
    </w:lvl>
    <w:lvl w:ilvl="1" w:tplc="3E40B054">
      <w:numFmt w:val="bullet"/>
      <w:lvlText w:val="•"/>
      <w:lvlJc w:val="left"/>
      <w:pPr>
        <w:ind w:left="1235" w:hanging="360"/>
      </w:pPr>
      <w:rPr>
        <w:rFonts w:hint="default"/>
        <w:lang w:val="ro-RO" w:eastAsia="en-US" w:bidi="ar-SA"/>
      </w:rPr>
    </w:lvl>
    <w:lvl w:ilvl="2" w:tplc="3D00748C">
      <w:numFmt w:val="bullet"/>
      <w:lvlText w:val="•"/>
      <w:lvlJc w:val="left"/>
      <w:pPr>
        <w:ind w:left="2004" w:hanging="360"/>
      </w:pPr>
      <w:rPr>
        <w:rFonts w:hint="default"/>
        <w:lang w:val="ro-RO" w:eastAsia="en-US" w:bidi="ar-SA"/>
      </w:rPr>
    </w:lvl>
    <w:lvl w:ilvl="3" w:tplc="82F0BB66">
      <w:numFmt w:val="bullet"/>
      <w:lvlText w:val="•"/>
      <w:lvlJc w:val="left"/>
      <w:pPr>
        <w:ind w:left="2773" w:hanging="360"/>
      </w:pPr>
      <w:rPr>
        <w:rFonts w:hint="default"/>
        <w:lang w:val="ro-RO" w:eastAsia="en-US" w:bidi="ar-SA"/>
      </w:rPr>
    </w:lvl>
    <w:lvl w:ilvl="4" w:tplc="A6CA34C0">
      <w:numFmt w:val="bullet"/>
      <w:lvlText w:val="•"/>
      <w:lvlJc w:val="left"/>
      <w:pPr>
        <w:ind w:left="3542" w:hanging="360"/>
      </w:pPr>
      <w:rPr>
        <w:rFonts w:hint="default"/>
        <w:lang w:val="ro-RO" w:eastAsia="en-US" w:bidi="ar-SA"/>
      </w:rPr>
    </w:lvl>
    <w:lvl w:ilvl="5" w:tplc="164EFF10">
      <w:numFmt w:val="bullet"/>
      <w:lvlText w:val="•"/>
      <w:lvlJc w:val="left"/>
      <w:pPr>
        <w:ind w:left="4312" w:hanging="360"/>
      </w:pPr>
      <w:rPr>
        <w:rFonts w:hint="default"/>
        <w:lang w:val="ro-RO" w:eastAsia="en-US" w:bidi="ar-SA"/>
      </w:rPr>
    </w:lvl>
    <w:lvl w:ilvl="6" w:tplc="CB086C92">
      <w:numFmt w:val="bullet"/>
      <w:lvlText w:val="•"/>
      <w:lvlJc w:val="left"/>
      <w:pPr>
        <w:ind w:left="5081" w:hanging="360"/>
      </w:pPr>
      <w:rPr>
        <w:rFonts w:hint="default"/>
        <w:lang w:val="ro-RO" w:eastAsia="en-US" w:bidi="ar-SA"/>
      </w:rPr>
    </w:lvl>
    <w:lvl w:ilvl="7" w:tplc="A71EDDB8">
      <w:numFmt w:val="bullet"/>
      <w:lvlText w:val="•"/>
      <w:lvlJc w:val="left"/>
      <w:pPr>
        <w:ind w:left="5850" w:hanging="360"/>
      </w:pPr>
      <w:rPr>
        <w:rFonts w:hint="default"/>
        <w:lang w:val="ro-RO" w:eastAsia="en-US" w:bidi="ar-SA"/>
      </w:rPr>
    </w:lvl>
    <w:lvl w:ilvl="8" w:tplc="59C0B31C">
      <w:numFmt w:val="bullet"/>
      <w:lvlText w:val="•"/>
      <w:lvlJc w:val="left"/>
      <w:pPr>
        <w:ind w:left="6619" w:hanging="360"/>
      </w:pPr>
      <w:rPr>
        <w:rFonts w:hint="default"/>
        <w:lang w:val="ro-RO" w:eastAsia="en-US" w:bidi="ar-SA"/>
      </w:rPr>
    </w:lvl>
  </w:abstractNum>
  <w:num w:numId="1" w16cid:durableId="1013415452">
    <w:abstractNumId w:val="1"/>
  </w:num>
  <w:num w:numId="2" w16cid:durableId="1509367590">
    <w:abstractNumId w:val="4"/>
  </w:num>
  <w:num w:numId="3" w16cid:durableId="118257321">
    <w:abstractNumId w:val="2"/>
  </w:num>
  <w:num w:numId="4" w16cid:durableId="1342007045">
    <w:abstractNumId w:val="3"/>
  </w:num>
  <w:num w:numId="5" w16cid:durableId="240339398">
    <w:abstractNumId w:val="5"/>
  </w:num>
  <w:num w:numId="6" w16cid:durableId="98501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F8"/>
    <w:rsid w:val="00015C0A"/>
    <w:rsid w:val="005C5DF8"/>
    <w:rsid w:val="00804E37"/>
    <w:rsid w:val="00852AD5"/>
    <w:rsid w:val="009B39D1"/>
    <w:rsid w:val="009D2C77"/>
    <w:rsid w:val="00C626B0"/>
    <w:rsid w:val="00DC1C07"/>
    <w:rsid w:val="00DD0A8F"/>
    <w:rsid w:val="00E81EF9"/>
    <w:rsid w:val="00EA2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6444"/>
  <w15:docId w15:val="{988A713A-9823-4D03-B4AC-D75C1C3A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zszbmfu.hu/Projekt/ROHU456/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zszbmo.hu/easydoor-rohu456" TargetMode="External"/><Relationship Id="rId5" Type="http://schemas.openxmlformats.org/officeDocument/2006/relationships/footnotes" Target="footnotes.xml"/><Relationship Id="rId10" Type="http://schemas.openxmlformats.org/officeDocument/2006/relationships/hyperlink" Target="https://www.muzeusm.ro/proiecteeuropene/proiecte-europene-actuale/" TargetMode="External"/><Relationship Id="rId4" Type="http://schemas.openxmlformats.org/officeDocument/2006/relationships/webSettings" Target="webSettings.xml"/><Relationship Id="rId9" Type="http://schemas.openxmlformats.org/officeDocument/2006/relationships/hyperlink" Target="https://kolcseytv.hu/rohu45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ROHU</cp:lastModifiedBy>
  <cp:revision>3</cp:revision>
  <dcterms:created xsi:type="dcterms:W3CDTF">2026-02-25T13:04:00Z</dcterms:created>
  <dcterms:modified xsi:type="dcterms:W3CDTF">2026-02-25T13:06:00Z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Word 2013</vt:lpwstr>
  </property>
  <property fmtid="{D5CDD505-2E9C-101B-9397-08002B2CF9AE}" pid="4" name="LastSaved">
    <vt:filetime>2026-02-25T00:00:00Z</vt:filetime>
  </property>
  <property fmtid="{D5CDD505-2E9C-101B-9397-08002B2CF9AE}" pid="5" name="Producer">
    <vt:lpwstr>Microsoft® Word 2013</vt:lpwstr>
  </property>
  <property fmtid="{D5CDD505-2E9C-101B-9397-08002B2CF9AE}" pid="6" name="GrammarlyDocumentId">
    <vt:lpwstr>c7e19573-66c3-4f92-b59b-6ef6e57f2b14</vt:lpwstr>
  </property>
</Properties>
</file>