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2FEE" w14:textId="77777777" w:rsidR="004401BF" w:rsidRDefault="004401BF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7854"/>
      </w:tblGrid>
      <w:tr w:rsidR="004401BF" w:rsidRPr="00712AE5" w14:paraId="51159C0A" w14:textId="77777777">
        <w:trPr>
          <w:trHeight w:val="433"/>
        </w:trPr>
        <w:tc>
          <w:tcPr>
            <w:tcW w:w="9741" w:type="dxa"/>
            <w:gridSpan w:val="2"/>
            <w:tcBorders>
              <w:bottom w:val="single" w:sz="6" w:space="0" w:color="000000"/>
            </w:tcBorders>
            <w:shd w:val="clear" w:color="auto" w:fill="2E5395"/>
          </w:tcPr>
          <w:p w14:paraId="32325C8F" w14:textId="77777777" w:rsidR="004401BF" w:rsidRPr="00712AE5" w:rsidRDefault="00000000" w:rsidP="00712AE5">
            <w:pPr>
              <w:pStyle w:val="TableParagraph"/>
              <w:spacing w:line="22" w:lineRule="atLeast"/>
              <w:ind w:left="110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FFFFFF"/>
              </w:rPr>
              <w:t>Al 2-lea Apel deschis – Proiecte normale</w:t>
            </w:r>
          </w:p>
        </w:tc>
      </w:tr>
      <w:tr w:rsidR="004401BF" w:rsidRPr="00712AE5" w14:paraId="307F3AB4" w14:textId="77777777" w:rsidTr="00712AE5">
        <w:trPr>
          <w:trHeight w:val="325"/>
        </w:trPr>
        <w:tc>
          <w:tcPr>
            <w:tcW w:w="1887" w:type="dxa"/>
            <w:tcBorders>
              <w:right w:val="single" w:sz="6" w:space="0" w:color="000000"/>
            </w:tcBorders>
          </w:tcPr>
          <w:p w14:paraId="450FFE0E" w14:textId="77777777" w:rsidR="004401BF" w:rsidRPr="00712AE5" w:rsidRDefault="00000000" w:rsidP="00712AE5">
            <w:pPr>
              <w:pStyle w:val="TableParagraph"/>
              <w:spacing w:line="22" w:lineRule="atLeast"/>
              <w:ind w:left="16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Cod proiect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316F" w14:textId="77777777" w:rsidR="004401BF" w:rsidRPr="00DE417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DE4175">
              <w:rPr>
                <w:rFonts w:ascii="Open Sans" w:hAnsi="Open Sans" w:cs="Open Sans"/>
                <w:b/>
                <w:bCs/>
                <w:color w:val="1F4E79"/>
              </w:rPr>
              <w:t>ROHU-180</w:t>
            </w:r>
          </w:p>
        </w:tc>
      </w:tr>
      <w:tr w:rsidR="004401BF" w:rsidRPr="00712AE5" w14:paraId="19AC91C6" w14:textId="77777777" w:rsidTr="00712AE5">
        <w:trPr>
          <w:trHeight w:val="532"/>
        </w:trPr>
        <w:tc>
          <w:tcPr>
            <w:tcW w:w="1887" w:type="dxa"/>
            <w:tcBorders>
              <w:right w:val="single" w:sz="6" w:space="0" w:color="000000"/>
            </w:tcBorders>
          </w:tcPr>
          <w:p w14:paraId="1BFBDAE4" w14:textId="77777777" w:rsidR="004401BF" w:rsidRPr="00712AE5" w:rsidRDefault="00000000" w:rsidP="00712AE5">
            <w:pPr>
              <w:pStyle w:val="TableParagraph"/>
              <w:spacing w:line="22" w:lineRule="atLeast"/>
              <w:ind w:left="16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Titlu proiect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2BF4" w14:textId="77777777" w:rsidR="004401BF" w:rsidRPr="00DE417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DE4175">
              <w:rPr>
                <w:rFonts w:ascii="Open Sans" w:hAnsi="Open Sans" w:cs="Open Sans"/>
                <w:b/>
                <w:bCs/>
                <w:color w:val="1F4E79"/>
              </w:rPr>
              <w:t>NoDrugs</w:t>
            </w:r>
          </w:p>
          <w:p w14:paraId="02E8024A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Prevenirea fără frontiere a consumului de droguri</w:t>
            </w:r>
          </w:p>
        </w:tc>
      </w:tr>
      <w:tr w:rsidR="004401BF" w:rsidRPr="00712AE5" w14:paraId="57963DFD" w14:textId="77777777" w:rsidTr="00712AE5">
        <w:trPr>
          <w:trHeight w:val="550"/>
        </w:trPr>
        <w:tc>
          <w:tcPr>
            <w:tcW w:w="1887" w:type="dxa"/>
            <w:tcBorders>
              <w:right w:val="single" w:sz="6" w:space="0" w:color="000000"/>
            </w:tcBorders>
          </w:tcPr>
          <w:p w14:paraId="0C6117F3" w14:textId="77777777" w:rsidR="004401BF" w:rsidRPr="00712AE5" w:rsidRDefault="00000000" w:rsidP="00712AE5">
            <w:pPr>
              <w:pStyle w:val="TableParagraph"/>
              <w:spacing w:line="22" w:lineRule="atLeast"/>
              <w:ind w:left="16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Axă prioritară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868B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6 - Promovarea cooperării transfrontaliere între instituții și cetățeni (Cooperare între instituții și comunități)</w:t>
            </w:r>
          </w:p>
        </w:tc>
      </w:tr>
      <w:tr w:rsidR="004401BF" w:rsidRPr="00712AE5" w14:paraId="6A879277" w14:textId="77777777" w:rsidTr="00712AE5">
        <w:trPr>
          <w:trHeight w:val="919"/>
        </w:trPr>
        <w:tc>
          <w:tcPr>
            <w:tcW w:w="1887" w:type="dxa"/>
            <w:tcBorders>
              <w:right w:val="single" w:sz="6" w:space="0" w:color="000000"/>
            </w:tcBorders>
          </w:tcPr>
          <w:p w14:paraId="39D4F54B" w14:textId="77777777" w:rsidR="004401BF" w:rsidRPr="00712AE5" w:rsidRDefault="00000000" w:rsidP="00712AE5">
            <w:pPr>
              <w:pStyle w:val="TableParagraph"/>
              <w:spacing w:line="22" w:lineRule="atLeast"/>
              <w:ind w:left="426" w:right="232" w:hanging="178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Prioritate de investiție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04AE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11/b - Consolidarea capacității instituționale a autorităților publice și a păr- ților interesate și o administrație publică eficientă prin promovarea coope-</w:t>
            </w:r>
          </w:p>
          <w:p w14:paraId="6F675728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rării juridice și administrative și a cooperării între cetățeni și instituții.</w:t>
            </w:r>
          </w:p>
        </w:tc>
      </w:tr>
      <w:tr w:rsidR="004401BF" w:rsidRPr="00712AE5" w14:paraId="7D848C88" w14:textId="77777777" w:rsidTr="00712AE5">
        <w:trPr>
          <w:trHeight w:val="532"/>
        </w:trPr>
        <w:tc>
          <w:tcPr>
            <w:tcW w:w="1887" w:type="dxa"/>
          </w:tcPr>
          <w:p w14:paraId="6E0ABFA9" w14:textId="77777777" w:rsidR="004401BF" w:rsidRPr="00712AE5" w:rsidRDefault="00000000" w:rsidP="00712AE5">
            <w:pPr>
              <w:pStyle w:val="TableParagraph"/>
              <w:spacing w:line="22" w:lineRule="atLeast"/>
              <w:ind w:left="158" w:firstLine="132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Perioadă de implementare</w:t>
            </w:r>
          </w:p>
        </w:tc>
        <w:tc>
          <w:tcPr>
            <w:tcW w:w="7854" w:type="dxa"/>
            <w:tcBorders>
              <w:top w:val="single" w:sz="6" w:space="0" w:color="000000"/>
              <w:bottom w:val="single" w:sz="6" w:space="0" w:color="000000"/>
            </w:tcBorders>
          </w:tcPr>
          <w:p w14:paraId="2D67ADD5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15 luni (01.12. 2018 – 29.02. 2020)</w:t>
            </w:r>
          </w:p>
        </w:tc>
      </w:tr>
      <w:tr w:rsidR="004401BF" w:rsidRPr="00712AE5" w14:paraId="178C8601" w14:textId="77777777" w:rsidTr="00712AE5">
        <w:trPr>
          <w:trHeight w:val="1441"/>
        </w:trPr>
        <w:tc>
          <w:tcPr>
            <w:tcW w:w="1887" w:type="dxa"/>
            <w:tcBorders>
              <w:right w:val="single" w:sz="6" w:space="0" w:color="000000"/>
            </w:tcBorders>
          </w:tcPr>
          <w:p w14:paraId="61103A89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46A280CC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333E295" w14:textId="77777777" w:rsidR="004401BF" w:rsidRPr="00712AE5" w:rsidRDefault="00000000" w:rsidP="00712AE5">
            <w:pPr>
              <w:pStyle w:val="TableParagraph"/>
              <w:spacing w:line="22" w:lineRule="atLeast"/>
              <w:ind w:left="16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Obiectiv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4B1D" w14:textId="77777777" w:rsidR="004401BF" w:rsidRPr="00712AE5" w:rsidRDefault="00000000" w:rsidP="00712AE5">
            <w:pPr>
              <w:pStyle w:val="TableParagraph"/>
              <w:spacing w:line="22" w:lineRule="atLeast"/>
              <w:ind w:left="107" w:right="95"/>
              <w:jc w:val="both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Obiectivul principal al proiectului a fost armonizarea programelor de prevenire a consumului de droguri de ambele părți ale graniței. De asemenea, să prezinte aceste programe fiecărui partener și să inițieze schimburi de experiență și să transpună aceste cunoștințe în practică</w:t>
            </w:r>
          </w:p>
          <w:p w14:paraId="7FB68155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pentru a reduce consumul de droguri în regiune.</w:t>
            </w:r>
          </w:p>
        </w:tc>
      </w:tr>
      <w:tr w:rsidR="004401BF" w:rsidRPr="00712AE5" w14:paraId="6D553DCE" w14:textId="77777777" w:rsidTr="00712AE5">
        <w:trPr>
          <w:trHeight w:val="649"/>
        </w:trPr>
        <w:tc>
          <w:tcPr>
            <w:tcW w:w="1887" w:type="dxa"/>
            <w:vMerge w:val="restart"/>
            <w:tcBorders>
              <w:right w:val="single" w:sz="6" w:space="0" w:color="000000"/>
            </w:tcBorders>
          </w:tcPr>
          <w:p w14:paraId="04FD8C0A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0DF20D8A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9FE1990" w14:textId="77777777" w:rsidR="004401BF" w:rsidRPr="00712AE5" w:rsidRDefault="00000000" w:rsidP="00712AE5">
            <w:pPr>
              <w:pStyle w:val="TableParagraph"/>
              <w:spacing w:line="22" w:lineRule="atLeast"/>
              <w:ind w:left="309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Parteneriat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6628" w14:textId="39B373ED" w:rsidR="004401BF" w:rsidRPr="00DE4175" w:rsidRDefault="00DE4175" w:rsidP="00DE417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color w:val="1F4E79"/>
              </w:rPr>
              <w:t xml:space="preserve">  </w:t>
            </w:r>
            <w:r w:rsidR="00000000" w:rsidRPr="00DE4175">
              <w:rPr>
                <w:rFonts w:ascii="Open Sans" w:hAnsi="Open Sans" w:cs="Open Sans"/>
                <w:b/>
                <w:bCs/>
                <w:color w:val="1F4E79"/>
              </w:rPr>
              <w:t>Beneficiar Principal:</w:t>
            </w:r>
          </w:p>
          <w:p w14:paraId="3686D2E4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Asociația de Sprijinire a Maghiarilor de peste Graniță St. Gellért (Ungaria)</w:t>
            </w:r>
          </w:p>
        </w:tc>
      </w:tr>
      <w:tr w:rsidR="004401BF" w:rsidRPr="00712AE5" w14:paraId="036C550B" w14:textId="77777777" w:rsidTr="00712AE5">
        <w:trPr>
          <w:trHeight w:val="613"/>
        </w:trPr>
        <w:tc>
          <w:tcPr>
            <w:tcW w:w="1887" w:type="dxa"/>
            <w:vMerge/>
            <w:tcBorders>
              <w:top w:val="nil"/>
              <w:right w:val="single" w:sz="6" w:space="0" w:color="000000"/>
            </w:tcBorders>
          </w:tcPr>
          <w:p w14:paraId="7A3104E3" w14:textId="77777777" w:rsidR="004401BF" w:rsidRPr="00712AE5" w:rsidRDefault="004401BF" w:rsidP="00712AE5">
            <w:pPr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7ED0" w14:textId="77777777" w:rsidR="004401BF" w:rsidRPr="00DE417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DE4175">
              <w:rPr>
                <w:rFonts w:ascii="Open Sans" w:hAnsi="Open Sans" w:cs="Open Sans"/>
                <w:b/>
                <w:bCs/>
                <w:color w:val="1F4E79"/>
              </w:rPr>
              <w:t>Partener de proiect:</w:t>
            </w:r>
          </w:p>
          <w:p w14:paraId="132EBF44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PP2 Fundația Diaspora (România)</w:t>
            </w:r>
          </w:p>
        </w:tc>
      </w:tr>
      <w:tr w:rsidR="004401BF" w:rsidRPr="00712AE5" w14:paraId="135F5043" w14:textId="77777777" w:rsidTr="00712AE5">
        <w:trPr>
          <w:trHeight w:val="802"/>
        </w:trPr>
        <w:tc>
          <w:tcPr>
            <w:tcW w:w="1887" w:type="dxa"/>
            <w:tcBorders>
              <w:right w:val="single" w:sz="6" w:space="0" w:color="000000"/>
            </w:tcBorders>
          </w:tcPr>
          <w:p w14:paraId="6E074974" w14:textId="77777777" w:rsidR="004401BF" w:rsidRPr="00712AE5" w:rsidRDefault="00000000" w:rsidP="00712AE5">
            <w:pPr>
              <w:pStyle w:val="TableParagraph"/>
              <w:spacing w:line="22" w:lineRule="atLeast"/>
              <w:ind w:left="16"/>
              <w:jc w:val="center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Buget total</w:t>
            </w:r>
          </w:p>
        </w:tc>
        <w:tc>
          <w:tcPr>
            <w:tcW w:w="7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EBC4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67.344,00 Euro, din care FEDR, 57.242,40 Euro</w:t>
            </w:r>
          </w:p>
          <w:p w14:paraId="33F68529" w14:textId="77777777" w:rsidR="004401BF" w:rsidRPr="00712AE5" w:rsidRDefault="00000000" w:rsidP="00712AE5">
            <w:pPr>
              <w:pStyle w:val="TableParagraph"/>
              <w:spacing w:line="22" w:lineRule="atLeast"/>
              <w:ind w:left="165" w:right="122" w:hanging="58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 xml:space="preserve">Totalul cheltuielilor eligibile decontate prin proiect: 62.107,82 Euro </w:t>
            </w:r>
            <w:r w:rsidRPr="00712AE5">
              <w:rPr>
                <w:rFonts w:ascii="Open Sans" w:hAnsi="Open Sans" w:cs="Open Sans"/>
                <w:b/>
                <w:bCs/>
                <w:i/>
                <w:iCs/>
                <w:color w:val="1F4E79"/>
              </w:rPr>
              <w:t>Execuția bugetară: 92,22%</w:t>
            </w:r>
          </w:p>
        </w:tc>
      </w:tr>
      <w:tr w:rsidR="004401BF" w:rsidRPr="00712AE5" w14:paraId="4A0DCD3B" w14:textId="77777777">
        <w:trPr>
          <w:trHeight w:val="3446"/>
        </w:trPr>
        <w:tc>
          <w:tcPr>
            <w:tcW w:w="1887" w:type="dxa"/>
          </w:tcPr>
          <w:p w14:paraId="4A96D010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6B8D8B8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4C5EDBB1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E1EEEC3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33BAAA66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B27D2C3" w14:textId="77777777" w:rsidR="004401BF" w:rsidRPr="00712AE5" w:rsidRDefault="00000000" w:rsidP="00712AE5">
            <w:pPr>
              <w:pStyle w:val="TableParagraph"/>
              <w:spacing w:line="22" w:lineRule="atLeast"/>
              <w:ind w:left="10"/>
              <w:jc w:val="center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Sumar</w:t>
            </w:r>
          </w:p>
        </w:tc>
        <w:tc>
          <w:tcPr>
            <w:tcW w:w="7854" w:type="dxa"/>
            <w:tcBorders>
              <w:top w:val="single" w:sz="6" w:space="0" w:color="000000"/>
            </w:tcBorders>
          </w:tcPr>
          <w:p w14:paraId="61CD5629" w14:textId="77777777" w:rsidR="004401BF" w:rsidRPr="00712AE5" w:rsidRDefault="00000000" w:rsidP="00712AE5">
            <w:pPr>
              <w:pStyle w:val="TableParagraph"/>
              <w:spacing w:line="22" w:lineRule="atLeast"/>
              <w:ind w:left="107" w:right="97"/>
              <w:jc w:val="both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Proiectul și-a propus să implice tinerii expuși riscului de excluziune socială în activități multiculturale și să consolideze dimensiunea internațională a activităților pentru tineret. De asemenea, se urmărește sprijinirea și consolidarea rolului lucrătorilor și al organizațiilor de prevenire a consumului de droguri ca structuri de sprijin pentru tineri.</w:t>
            </w:r>
          </w:p>
          <w:p w14:paraId="1D6F3C23" w14:textId="77777777" w:rsidR="004401BF" w:rsidRPr="00712AE5" w:rsidRDefault="004401BF" w:rsidP="00712AE5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4F62CB01" w14:textId="77777777" w:rsidR="004401BF" w:rsidRPr="00712AE5" w:rsidRDefault="00000000" w:rsidP="00712AE5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b/>
                <w:bCs/>
                <w:color w:val="1F4E79"/>
              </w:rPr>
              <w:t>Activitățile principale implementate</w:t>
            </w:r>
            <w:r w:rsidRPr="00712AE5">
              <w:rPr>
                <w:rFonts w:ascii="Open Sans" w:hAnsi="Open Sans" w:cs="Open Sans"/>
                <w:color w:val="1F4E79"/>
              </w:rPr>
              <w:t xml:space="preserve"> în cadrul proiectului:</w:t>
            </w:r>
          </w:p>
          <w:p w14:paraId="1C12B95C" w14:textId="77777777" w:rsidR="004401BF" w:rsidRPr="00712AE5" w:rsidRDefault="00000000" w:rsidP="00712AE5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" w:lineRule="atLeast"/>
              <w:ind w:left="316" w:hanging="209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organizarea de sesiuni de instruire pentru membrii echipei ambilor</w:t>
            </w:r>
          </w:p>
          <w:p w14:paraId="4C23D88C" w14:textId="77777777" w:rsidR="004401BF" w:rsidRPr="00712AE5" w:rsidRDefault="00000000" w:rsidP="00712AE5">
            <w:pPr>
              <w:pStyle w:val="TableParagraph"/>
              <w:tabs>
                <w:tab w:val="left" w:pos="432"/>
              </w:tabs>
              <w:spacing w:line="22" w:lineRule="atLeast"/>
              <w:ind w:left="316"/>
              <w:rPr>
                <w:rFonts w:ascii="Open Sans" w:hAnsi="Open Sans" w:cs="Open Sans"/>
                <w:color w:val="1F4E79"/>
              </w:rPr>
            </w:pPr>
            <w:r w:rsidRPr="00712AE5">
              <w:rPr>
                <w:rFonts w:ascii="Open Sans" w:hAnsi="Open Sans" w:cs="Open Sans"/>
                <w:color w:val="1F4E79"/>
              </w:rPr>
              <w:t>parteneri de proiect, cu privire la problemele comune cu care se confruntă adolescenții și tinerii;</w:t>
            </w:r>
          </w:p>
          <w:p w14:paraId="647AE985" w14:textId="77777777" w:rsidR="00712AE5" w:rsidRPr="00712AE5" w:rsidRDefault="00712AE5" w:rsidP="00712AE5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" w:lineRule="atLeast"/>
              <w:ind w:left="316" w:hanging="209"/>
              <w:rPr>
                <w:rFonts w:ascii="Open Sans" w:hAnsi="Open Sans" w:cs="Open Sans"/>
                <w:color w:val="1F4E79"/>
              </w:rPr>
            </w:pPr>
            <w:r w:rsidRPr="00712AE5">
              <w:rPr>
                <w:rFonts w:ascii="Open Sans" w:hAnsi="Open Sans" w:cs="Open Sans"/>
                <w:color w:val="1F4E79"/>
              </w:rPr>
              <w:t>organizarea în România și Ungaria a unor tabere dedicate tinerilor, cu scopul de a crea oportunități, a dobândi noi experiențe și a implementa acțiuni de conștientizare cu privire la consumul contemporan de droguri;</w:t>
            </w:r>
          </w:p>
          <w:p w14:paraId="5A5D77B8" w14:textId="77777777" w:rsidR="00712AE5" w:rsidRPr="00712AE5" w:rsidRDefault="00712AE5" w:rsidP="00712AE5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" w:lineRule="atLeast"/>
              <w:ind w:left="316" w:hanging="209"/>
              <w:rPr>
                <w:rFonts w:ascii="Open Sans" w:hAnsi="Open Sans" w:cs="Open Sans"/>
                <w:color w:val="1F4E79"/>
              </w:rPr>
            </w:pPr>
            <w:r w:rsidRPr="00712AE5">
              <w:rPr>
                <w:rFonts w:ascii="Open Sans" w:hAnsi="Open Sans" w:cs="Open Sans"/>
                <w:color w:val="1F4E79"/>
              </w:rPr>
              <w:t>înființarea unor cluburi în România și Ungaria și organizarea de evenimente dedicate, în cadrul cărora tinerii se pot exprima prin artă, practicarea sportului și participarea la dezbateri;</w:t>
            </w:r>
          </w:p>
          <w:p w14:paraId="4EC6B6F8" w14:textId="77777777" w:rsidR="00712AE5" w:rsidRPr="00712AE5" w:rsidRDefault="00712AE5" w:rsidP="00712AE5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" w:lineRule="atLeast"/>
              <w:ind w:left="316" w:hanging="209"/>
              <w:rPr>
                <w:rFonts w:ascii="Open Sans" w:hAnsi="Open Sans" w:cs="Open Sans"/>
                <w:color w:val="1F4E79"/>
              </w:rPr>
            </w:pPr>
            <w:r w:rsidRPr="00712AE5">
              <w:rPr>
                <w:rFonts w:ascii="Open Sans" w:hAnsi="Open Sans" w:cs="Open Sans"/>
                <w:color w:val="1F4E79"/>
              </w:rPr>
              <w:t>organizarea de către Beneficiarul principal din Ungaria a unei expoziții legate de droguri, care prezintă toate etapele dependenței de droguri.</w:t>
            </w:r>
          </w:p>
          <w:p w14:paraId="04974135" w14:textId="77777777" w:rsidR="00712AE5" w:rsidRPr="00712AE5" w:rsidRDefault="00712AE5" w:rsidP="00712AE5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  <w:b/>
                <w:i/>
                <w:color w:val="1F4E79"/>
                <w:sz w:val="16"/>
                <w:szCs w:val="16"/>
              </w:rPr>
            </w:pPr>
          </w:p>
          <w:p w14:paraId="74C3E09B" w14:textId="417D7250" w:rsidR="00712AE5" w:rsidRPr="00712AE5" w:rsidRDefault="00712AE5" w:rsidP="00712AE5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  <w:b/>
                <w:i/>
              </w:rPr>
            </w:pPr>
            <w:r w:rsidRPr="00712AE5">
              <w:rPr>
                <w:rFonts w:ascii="Open Sans" w:hAnsi="Open Sans" w:cs="Open Sans"/>
                <w:b/>
                <w:i/>
                <w:color w:val="1F4E79"/>
              </w:rPr>
              <w:t>Proiectul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12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a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8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fost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8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finalizat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8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cu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10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succes,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8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la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10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data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8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de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7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2"/>
              </w:rPr>
              <w:t>29.02.2020.</w:t>
            </w:r>
          </w:p>
          <w:p w14:paraId="155DC9A7" w14:textId="403EBA4A" w:rsidR="00712AE5" w:rsidRPr="00712AE5" w:rsidRDefault="00712AE5" w:rsidP="00712AE5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  <w:b/>
                <w:i/>
              </w:rPr>
            </w:pPr>
            <w:r w:rsidRPr="00712AE5">
              <w:rPr>
                <w:rFonts w:ascii="Open Sans" w:hAnsi="Open Sans" w:cs="Open Sans"/>
                <w:b/>
                <w:i/>
                <w:color w:val="1F4E79"/>
              </w:rPr>
              <w:t>Toate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5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activitățile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6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prevăzute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6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in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8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proiect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3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au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4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fost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6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</w:rPr>
              <w:t>realizate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6"/>
              </w:rPr>
              <w:t xml:space="preserve"> </w:t>
            </w:r>
            <w:r w:rsidRPr="00712AE5">
              <w:rPr>
                <w:rFonts w:ascii="Open Sans" w:hAnsi="Open Sans" w:cs="Open Sans"/>
                <w:b/>
                <w:i/>
                <w:color w:val="1F4E79"/>
                <w:spacing w:val="-2"/>
              </w:rPr>
              <w:t>(100%).</w:t>
            </w:r>
          </w:p>
        </w:tc>
      </w:tr>
    </w:tbl>
    <w:p w14:paraId="0E8727CE" w14:textId="77777777" w:rsidR="004401BF" w:rsidRDefault="004401BF">
      <w:pPr>
        <w:pStyle w:val="TableParagraph"/>
        <w:spacing w:line="340" w:lineRule="atLeast"/>
        <w:sectPr w:rsidR="004401BF">
          <w:headerReference w:type="default" r:id="rId7"/>
          <w:footerReference w:type="default" r:id="rId8"/>
          <w:type w:val="continuous"/>
          <w:pgSz w:w="11910" w:h="16840"/>
          <w:pgMar w:top="2000" w:right="708" w:bottom="1160" w:left="1417" w:header="720" w:footer="972" w:gutter="0"/>
          <w:pgNumType w:start="1"/>
          <w:cols w:space="720"/>
        </w:sectPr>
      </w:pPr>
    </w:p>
    <w:p w14:paraId="720EB55E" w14:textId="77777777" w:rsidR="004401BF" w:rsidRDefault="004401BF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7854"/>
      </w:tblGrid>
      <w:tr w:rsidR="004401BF" w14:paraId="18EE0AD6" w14:textId="77777777">
        <w:trPr>
          <w:trHeight w:val="6859"/>
        </w:trPr>
        <w:tc>
          <w:tcPr>
            <w:tcW w:w="1887" w:type="dxa"/>
          </w:tcPr>
          <w:p w14:paraId="64ECA2EC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653322A8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75C56896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314A2F5D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0607D9C8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763A7CB5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3CCF2EA7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733DA318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1EA6B52D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7C8130B9" w14:textId="77777777" w:rsidR="004401BF" w:rsidRPr="00712AE5" w:rsidRDefault="004401BF">
            <w:pPr>
              <w:pStyle w:val="TableParagraph"/>
              <w:rPr>
                <w:rFonts w:ascii="Open Sans" w:hAnsi="Open Sans" w:cs="Open Sans"/>
              </w:rPr>
            </w:pPr>
          </w:p>
          <w:p w14:paraId="03371DF3" w14:textId="77777777" w:rsidR="004401BF" w:rsidRPr="00712AE5" w:rsidRDefault="004401BF">
            <w:pPr>
              <w:pStyle w:val="TableParagraph"/>
              <w:spacing w:before="244"/>
              <w:rPr>
                <w:rFonts w:ascii="Open Sans" w:hAnsi="Open Sans" w:cs="Open Sans"/>
              </w:rPr>
            </w:pPr>
          </w:p>
          <w:p w14:paraId="7484A6C0" w14:textId="77777777" w:rsidR="004401BF" w:rsidRPr="00712AE5" w:rsidRDefault="00000000">
            <w:pPr>
              <w:pStyle w:val="TableParagraph"/>
              <w:spacing w:line="242" w:lineRule="auto"/>
              <w:ind w:left="390" w:firstLine="24"/>
              <w:rPr>
                <w:rFonts w:ascii="Open Sans" w:hAnsi="Open Sans" w:cs="Open Sans"/>
                <w:b/>
                <w:bCs/>
              </w:rPr>
            </w:pPr>
            <w:r w:rsidRPr="00712AE5">
              <w:rPr>
                <w:rFonts w:ascii="Open Sans" w:hAnsi="Open Sans" w:cs="Open Sans"/>
                <w:b/>
                <w:bCs/>
                <w:color w:val="1F3863"/>
              </w:rPr>
              <w:t>Rezultate principale</w:t>
            </w:r>
          </w:p>
        </w:tc>
        <w:tc>
          <w:tcPr>
            <w:tcW w:w="7854" w:type="dxa"/>
          </w:tcPr>
          <w:p w14:paraId="4F76A340" w14:textId="63546B90" w:rsidR="004C4F32" w:rsidRDefault="004C4F32" w:rsidP="004C4F32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b/>
                <w:bCs/>
                <w:color w:val="1F4E79"/>
              </w:rPr>
            </w:pPr>
            <w:r>
              <w:rPr>
                <w:rFonts w:ascii="Open Sans" w:hAnsi="Open Sans" w:cs="Open Sans"/>
                <w:b/>
                <w:bCs/>
                <w:color w:val="1F4E79"/>
              </w:rPr>
              <w:t>Livrabile:</w:t>
            </w:r>
          </w:p>
          <w:p w14:paraId="2F72453F" w14:textId="161219DB" w:rsidR="004C4F32" w:rsidRPr="004C4F32" w:rsidRDefault="004C4F32" w:rsidP="004C4F32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color w:val="1F4E79"/>
              </w:rPr>
              <w:t>1) 8 evenimente de club organizate (4 în Ungaria și 4 în România) pentru peste 600 de persoane, pentru a se familiariza cu efectele nocive ale drogurilor, prin diferite metode, și, pe de altă parte, pentru a petrece timp util în cluburi;</w:t>
            </w:r>
          </w:p>
          <w:p w14:paraId="59A1C358" w14:textId="77777777" w:rsidR="004C4F32" w:rsidRPr="004C4F32" w:rsidRDefault="004C4F32" w:rsidP="004C4F32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color w:val="1F4E79"/>
              </w:rPr>
              <w:t>2) 2 sesiuni de instruire organizate (1 în România și 1 în Ungaria) pentru 30 de persoane (15 persoane/instruire), având următoarele teme principale: psihologia adolescentului, bolile pasionale, prevenirea inovatoare a consumului de droguri - ajutor contemporan, devianțe ale adolescenților, tehnici de construire a comunității;</w:t>
            </w:r>
          </w:p>
          <w:p w14:paraId="1E31D15E" w14:textId="77777777" w:rsidR="004C4F32" w:rsidRPr="004C4F32" w:rsidRDefault="004C4F32" w:rsidP="004C4F32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color w:val="1F4E79"/>
              </w:rPr>
              <w:t>3) 6 tabere de autocunoaștere organizate (2 în România și 4 în Ungaria) pentru 200 de tineri din ambele țări, pentru a se familiariza cu elementele de bază ale metodelor contemporane de ajutor în domeniul prevenirii consumului de droguri și pentru a crește cooperarea dintre comunitățile transfrontaliere;</w:t>
            </w:r>
          </w:p>
          <w:p w14:paraId="7B2917D2" w14:textId="5DEE3272" w:rsidR="002E5F90" w:rsidRPr="004C4F32" w:rsidRDefault="004C4F32" w:rsidP="004C4F32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color w:val="1F4E79"/>
              </w:rPr>
              <w:t>4) Expoziția Metamorfoză-droguri organizată pentru ca tinerii să se familiarizeze cu dezavantajele și exemplele negative ale consumului de droguri, cu un total de 1152 de vizitatori.</w:t>
            </w:r>
          </w:p>
          <w:p w14:paraId="4427B39C" w14:textId="77777777" w:rsidR="002E5F90" w:rsidRDefault="002E5F90" w:rsidP="00712AE5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  <w:b/>
                <w:bCs/>
                <w:color w:val="1F4E79"/>
              </w:rPr>
            </w:pPr>
          </w:p>
          <w:p w14:paraId="1FFE0BCA" w14:textId="2DA013FB" w:rsidR="004401BF" w:rsidRPr="00712AE5" w:rsidRDefault="00000000" w:rsidP="00712AE5">
            <w:pPr>
              <w:pStyle w:val="TableParagraph"/>
              <w:spacing w:line="22" w:lineRule="atLeast"/>
              <w:ind w:left="105"/>
              <w:jc w:val="both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b/>
                <w:bCs/>
                <w:color w:val="1F4E79"/>
              </w:rPr>
              <w:t>Rezultate</w:t>
            </w:r>
            <w:r w:rsidRPr="00712AE5">
              <w:rPr>
                <w:rFonts w:ascii="Open Sans" w:hAnsi="Open Sans" w:cs="Open Sans"/>
                <w:color w:val="1F4E79"/>
              </w:rPr>
              <w:t>:</w:t>
            </w:r>
          </w:p>
          <w:p w14:paraId="1FC19D6F" w14:textId="09B6AD6D" w:rsidR="004C4F32" w:rsidRPr="004C4F32" w:rsidRDefault="004C4F32" w:rsidP="004C4F32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2" w:lineRule="atLeast"/>
              <w:ind w:right="95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color w:val="1F4E79"/>
              </w:rPr>
              <w:t>o echipă de 30 de persoane din ambele părți ale frontierei, instruite pentru a oferi asistență profesională tinerilor în domeniul prevenirii și dependenței de droguri;</w:t>
            </w:r>
          </w:p>
          <w:p w14:paraId="529FD6AC" w14:textId="06B684E8" w:rsidR="00712AE5" w:rsidRDefault="004C4F32" w:rsidP="004C4F32">
            <w:pPr>
              <w:pStyle w:val="TableParagraph"/>
              <w:numPr>
                <w:ilvl w:val="0"/>
                <w:numId w:val="1"/>
              </w:numPr>
              <w:spacing w:line="22" w:lineRule="atLeast"/>
              <w:ind w:right="96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color w:val="1F4E79"/>
              </w:rPr>
              <w:t>creșterea gradului de conștientizare a tinerilor din zonele transfrontaliere din România și Ungaria cu privire la dependența de droguri prin intermediul evenimentelor organizate în cadrul proiectului (evenimente de club, expoziții, tabere).</w:t>
            </w:r>
          </w:p>
          <w:p w14:paraId="54C28874" w14:textId="77777777" w:rsidR="004C4F32" w:rsidRDefault="004C4F32" w:rsidP="00712AE5">
            <w:pPr>
              <w:pStyle w:val="TableParagraph"/>
              <w:spacing w:line="22" w:lineRule="atLeast"/>
              <w:ind w:left="105" w:right="96"/>
              <w:jc w:val="both"/>
              <w:rPr>
                <w:rFonts w:ascii="Open Sans" w:hAnsi="Open Sans" w:cs="Open Sans"/>
                <w:color w:val="1F4E79"/>
              </w:rPr>
            </w:pPr>
          </w:p>
          <w:p w14:paraId="3C061248" w14:textId="73138394" w:rsidR="004C4F32" w:rsidRDefault="004C4F32" w:rsidP="00712AE5">
            <w:pPr>
              <w:pStyle w:val="TableParagraph"/>
              <w:spacing w:line="22" w:lineRule="atLeast"/>
              <w:ind w:left="105" w:right="96"/>
              <w:jc w:val="both"/>
              <w:rPr>
                <w:rFonts w:ascii="Open Sans" w:hAnsi="Open Sans" w:cs="Open Sans"/>
                <w:color w:val="1F4E79"/>
              </w:rPr>
            </w:pPr>
            <w:r w:rsidRPr="004C4F32">
              <w:rPr>
                <w:rFonts w:ascii="Open Sans" w:hAnsi="Open Sans" w:cs="Open Sans"/>
                <w:b/>
                <w:bCs/>
                <w:color w:val="1F4E79"/>
              </w:rPr>
              <w:t>Indicator de realizare (output)</w:t>
            </w:r>
            <w:r>
              <w:rPr>
                <w:rFonts w:ascii="Open Sans" w:hAnsi="Open Sans" w:cs="Open Sans"/>
                <w:color w:val="1F4E79"/>
              </w:rPr>
              <w:t>:</w:t>
            </w:r>
          </w:p>
          <w:p w14:paraId="12B1F46E" w14:textId="65107BD4" w:rsidR="00712AE5" w:rsidRPr="00712AE5" w:rsidRDefault="00712AE5" w:rsidP="00712AE5">
            <w:pPr>
              <w:pStyle w:val="TableParagraph"/>
              <w:spacing w:line="22" w:lineRule="atLeast"/>
              <w:ind w:left="105" w:right="96"/>
              <w:jc w:val="both"/>
              <w:rPr>
                <w:rFonts w:ascii="Open Sans" w:hAnsi="Open Sans" w:cs="Open Sans"/>
              </w:rPr>
            </w:pPr>
            <w:r w:rsidRPr="00712AE5">
              <w:rPr>
                <w:rFonts w:ascii="Open Sans" w:hAnsi="Open Sans" w:cs="Open Sans"/>
                <w:color w:val="1F4E79"/>
              </w:rPr>
              <w:t>Indicatorul de realizare al Programului este „1</w:t>
            </w:r>
            <w:r w:rsidR="00DE4175">
              <w:rPr>
                <w:rFonts w:ascii="Open Sans" w:hAnsi="Open Sans" w:cs="Open Sans"/>
                <w:color w:val="1F4E79"/>
              </w:rPr>
              <w:t>1</w:t>
            </w:r>
            <w:r w:rsidRPr="00712AE5">
              <w:rPr>
                <w:rFonts w:ascii="Open Sans" w:hAnsi="Open Sans" w:cs="Open Sans"/>
                <w:color w:val="1F4E79"/>
              </w:rPr>
              <w:t xml:space="preserve">/b2 </w:t>
            </w:r>
            <w:r w:rsidRPr="00712AE5">
              <w:rPr>
                <w:rFonts w:ascii="Open Sans" w:hAnsi="Open Sans" w:cs="Open Sans"/>
                <w:i/>
                <w:color w:val="1F4E79"/>
              </w:rPr>
              <w:t>Numărul de persoane direct implicate în inițiative de cooperare transfrontalieră</w:t>
            </w:r>
            <w:r w:rsidRPr="00712AE5">
              <w:rPr>
                <w:rFonts w:ascii="Open Sans" w:hAnsi="Open Sans" w:cs="Open Sans"/>
                <w:color w:val="1F4E79"/>
              </w:rPr>
              <w:t xml:space="preserve">”. Prin </w:t>
            </w:r>
            <w:r w:rsidR="00DE4175">
              <w:rPr>
                <w:rFonts w:ascii="Open Sans" w:hAnsi="Open Sans" w:cs="Open Sans"/>
                <w:color w:val="1F4E79"/>
              </w:rPr>
              <w:t>activitățile</w:t>
            </w:r>
            <w:r w:rsidRPr="00712AE5">
              <w:rPr>
                <w:rFonts w:ascii="Open Sans" w:hAnsi="Open Sans" w:cs="Open Sans"/>
                <w:color w:val="1F4E79"/>
              </w:rPr>
              <w:t xml:space="preserve"> proiectului ROHU–180, 1725 de persoane au participat la campaniile și</w:t>
            </w:r>
          </w:p>
          <w:p w14:paraId="3C0C3EBF" w14:textId="2E4EB92D" w:rsidR="004401BF" w:rsidRPr="00712AE5" w:rsidRDefault="00712AE5" w:rsidP="00712AE5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  <w:color w:val="1F4E79"/>
              </w:rPr>
            </w:pPr>
            <w:r w:rsidRPr="00712AE5">
              <w:rPr>
                <w:rFonts w:ascii="Open Sans" w:hAnsi="Open Sans" w:cs="Open Sans"/>
                <w:color w:val="1F4E79"/>
              </w:rPr>
              <w:t>evenimentele de sensibilizare cu privire la prevenirea consumului de</w:t>
            </w:r>
            <w:r w:rsidRPr="00712AE5">
              <w:rPr>
                <w:rFonts w:ascii="Open Sans" w:hAnsi="Open Sans" w:cs="Open Sans"/>
              </w:rPr>
              <w:t xml:space="preserve"> </w:t>
            </w:r>
            <w:r w:rsidRPr="00712AE5">
              <w:rPr>
                <w:rFonts w:ascii="Open Sans" w:hAnsi="Open Sans" w:cs="Open Sans"/>
                <w:color w:val="1F4E79"/>
              </w:rPr>
              <w:t>droguri.</w:t>
            </w:r>
          </w:p>
          <w:p w14:paraId="59E48A98" w14:textId="77777777" w:rsidR="00712AE5" w:rsidRPr="00712AE5" w:rsidRDefault="00712AE5" w:rsidP="00712AE5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</w:p>
          <w:p w14:paraId="3CCFE97F" w14:textId="77777777" w:rsidR="004401BF" w:rsidRPr="00712AE5" w:rsidRDefault="00000000" w:rsidP="00712AE5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  <w:r w:rsidRPr="00016B30">
              <w:rPr>
                <w:rFonts w:ascii="Open Sans" w:hAnsi="Open Sans" w:cs="Open Sans"/>
                <w:b/>
                <w:bCs/>
                <w:color w:val="1F3863"/>
              </w:rPr>
              <w:t>LB  website</w:t>
            </w:r>
            <w:r w:rsidRPr="00712AE5">
              <w:rPr>
                <w:rFonts w:ascii="Open Sans" w:hAnsi="Open Sans" w:cs="Open Sans"/>
                <w:color w:val="1F3863"/>
              </w:rPr>
              <w:t xml:space="preserve">:  </w:t>
            </w:r>
            <w:hyperlink r:id="rId9">
              <w:r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http://www.szentgellert.org/#!/projektek</w:t>
              </w:r>
            </w:hyperlink>
          </w:p>
          <w:p w14:paraId="4713CF1F" w14:textId="7685EC55" w:rsidR="004401BF" w:rsidRPr="00712AE5" w:rsidRDefault="00000000" w:rsidP="004C4F32">
            <w:pPr>
              <w:pStyle w:val="TableParagraph"/>
              <w:spacing w:line="22" w:lineRule="atLeast"/>
              <w:ind w:left="105" w:right="150"/>
              <w:rPr>
                <w:rFonts w:ascii="Open Sans" w:hAnsi="Open Sans" w:cs="Open Sans"/>
              </w:rPr>
            </w:pPr>
            <w:r w:rsidRPr="00016B30">
              <w:rPr>
                <w:rFonts w:ascii="Open Sans" w:hAnsi="Open Sans" w:cs="Open Sans"/>
                <w:b/>
                <w:bCs/>
                <w:color w:val="1F3863"/>
              </w:rPr>
              <w:t>PP2 website:</w:t>
            </w:r>
            <w:r w:rsidRPr="00712AE5">
              <w:rPr>
                <w:rFonts w:ascii="Open Sans" w:hAnsi="Open Sans" w:cs="Open Sans"/>
                <w:color w:val="1F3863"/>
              </w:rPr>
              <w:t xml:space="preserve"> </w:t>
            </w:r>
            <w:hyperlink r:id="rId10">
              <w:r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http://www.diasporatm.ro/ro/category/proiectul-nodrugs/</w:t>
              </w:r>
            </w:hyperlink>
            <w:r w:rsidRPr="00712AE5">
              <w:rPr>
                <w:rFonts w:ascii="Open Sans" w:hAnsi="Open Sans" w:cs="Open Sans"/>
                <w:color w:val="0462C1"/>
              </w:rPr>
              <w:t xml:space="preserve"> </w:t>
            </w:r>
            <w:r w:rsidRPr="00016B30">
              <w:rPr>
                <w:rFonts w:ascii="Open Sans" w:hAnsi="Open Sans" w:cs="Open Sans"/>
                <w:b/>
                <w:bCs/>
                <w:color w:val="1F3863"/>
              </w:rPr>
              <w:t>Social media:</w:t>
            </w:r>
            <w:r w:rsidR="004C4F32">
              <w:rPr>
                <w:rFonts w:ascii="Open Sans" w:hAnsi="Open Sans" w:cs="Open Sans"/>
                <w:color w:val="1F3863"/>
              </w:rPr>
              <w:t xml:space="preserve"> </w:t>
            </w:r>
            <w:hyperlink r:id="rId11">
              <w:r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https://www.facebook.com/szentgellerttarsasag/</w:t>
              </w:r>
            </w:hyperlink>
          </w:p>
          <w:p w14:paraId="46D78FF1" w14:textId="6861B32B" w:rsidR="00712AE5" w:rsidRPr="00712AE5" w:rsidRDefault="00000000" w:rsidP="004C4F32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  <w:r w:rsidRPr="00016B30">
              <w:rPr>
                <w:rFonts w:ascii="Open Sans" w:hAnsi="Open Sans" w:cs="Open Sans"/>
                <w:b/>
                <w:bCs/>
                <w:color w:val="1F3863"/>
              </w:rPr>
              <w:t>Studiu in RO:</w:t>
            </w:r>
            <w:r w:rsidR="004C4F32">
              <w:rPr>
                <w:rFonts w:ascii="Open Sans" w:hAnsi="Open Sans" w:cs="Open Sans"/>
                <w:color w:val="1F3863"/>
              </w:rPr>
              <w:t xml:space="preserve"> </w:t>
            </w:r>
            <w:hyperlink r:id="rId12">
              <w:r w:rsidR="00712AE5"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https://interreg-rohu.eu/wp-content/uploads/2021/04/ROHU-180-</w:t>
              </w:r>
            </w:hyperlink>
            <w:r w:rsidR="00712AE5" w:rsidRPr="00712AE5">
              <w:rPr>
                <w:rFonts w:ascii="Open Sans" w:hAnsi="Open Sans" w:cs="Open Sans"/>
                <w:color w:val="0462C1"/>
              </w:rPr>
              <w:t xml:space="preserve"> </w:t>
            </w:r>
            <w:hyperlink r:id="rId13">
              <w:r w:rsidR="00712AE5"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Study_in_RO.pdf</w:t>
              </w:r>
            </w:hyperlink>
          </w:p>
          <w:p w14:paraId="67E00A0A" w14:textId="2BF5AF31" w:rsidR="00712AE5" w:rsidRPr="00712AE5" w:rsidRDefault="00712AE5" w:rsidP="004C4F32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  <w:r w:rsidRPr="00016B30">
              <w:rPr>
                <w:rFonts w:ascii="Open Sans" w:hAnsi="Open Sans" w:cs="Open Sans"/>
                <w:b/>
                <w:bCs/>
                <w:color w:val="1F3863"/>
              </w:rPr>
              <w:t>Studiu in HU:</w:t>
            </w:r>
            <w:r w:rsidR="004C4F32">
              <w:rPr>
                <w:rFonts w:ascii="Open Sans" w:hAnsi="Open Sans" w:cs="Open Sans"/>
                <w:color w:val="1F3863"/>
              </w:rPr>
              <w:t xml:space="preserve"> </w:t>
            </w:r>
            <w:hyperlink r:id="rId14">
              <w:r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https://interreg-rohu.eu/wp-content/uploads/2021/04/ROHU-180-</w:t>
              </w:r>
            </w:hyperlink>
            <w:r w:rsidRPr="00712AE5">
              <w:rPr>
                <w:rFonts w:ascii="Open Sans" w:hAnsi="Open Sans" w:cs="Open Sans"/>
                <w:color w:val="0462C1"/>
              </w:rPr>
              <w:t xml:space="preserve"> </w:t>
            </w:r>
            <w:hyperlink r:id="rId15">
              <w:r w:rsidRPr="00712AE5">
                <w:rPr>
                  <w:rFonts w:ascii="Open Sans" w:hAnsi="Open Sans" w:cs="Open Sans"/>
                  <w:color w:val="0462C1"/>
                  <w:u w:val="single" w:color="0462C1"/>
                </w:rPr>
                <w:t>Study_in_HU.pdf</w:t>
              </w:r>
            </w:hyperlink>
          </w:p>
        </w:tc>
      </w:tr>
    </w:tbl>
    <w:p w14:paraId="0F258DE5" w14:textId="77777777" w:rsidR="00F122CB" w:rsidRDefault="00F122CB" w:rsidP="004C4F32"/>
    <w:sectPr w:rsidR="00F122CB">
      <w:pgSz w:w="11910" w:h="16840"/>
      <w:pgMar w:top="2000" w:right="708" w:bottom="1160" w:left="1417" w:header="72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807D" w14:textId="77777777" w:rsidR="00F122CB" w:rsidRDefault="00F122CB">
      <w:r>
        <w:separator/>
      </w:r>
    </w:p>
  </w:endnote>
  <w:endnote w:type="continuationSeparator" w:id="0">
    <w:p w14:paraId="65E63042" w14:textId="77777777" w:rsidR="00F122CB" w:rsidRDefault="00F1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A7FB" w14:textId="77777777" w:rsidR="004401BF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6DEA5107" wp14:editId="513374E0">
              <wp:simplePos x="0" y="0"/>
              <wp:positionH relativeFrom="page">
                <wp:posOffset>902004</wp:posOffset>
              </wp:positionH>
              <wp:positionV relativeFrom="page">
                <wp:posOffset>9935588</wp:posOffset>
              </wp:positionV>
              <wp:extent cx="2951480" cy="3797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148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54AEE" w14:textId="77777777" w:rsidR="004401BF" w:rsidRDefault="00000000">
                          <w:pPr>
                            <w:pStyle w:val="BodyText"/>
                            <w:spacing w:before="20" w:line="252" w:lineRule="auto"/>
                            <w:ind w:left="20" w:right="18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 xml:space="preserve">mai 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A510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82.35pt;width:232.4pt;height:29.9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" filled="f" stroked="f">
              <v:textbox inset="0,0,0,0">
                <w:txbxContent>
                  <w:p w14:paraId="75E54AEE" w14:textId="77777777" w:rsidR="004401BF" w:rsidRDefault="00000000">
                    <w:pPr>
                      <w:pStyle w:val="BodyText"/>
                      <w:spacing w:before="20" w:line="252" w:lineRule="auto"/>
                      <w:ind w:left="20" w:right="18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10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10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10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10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 xml:space="preserve">mai </w:t>
                    </w:r>
                    <w:r>
                      <w:rPr>
                        <w:color w:val="003399"/>
                        <w:spacing w:val="-4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3E178E9D" wp14:editId="28C703B0">
              <wp:simplePos x="0" y="0"/>
              <wp:positionH relativeFrom="page">
                <wp:posOffset>5325617</wp:posOffset>
              </wp:positionH>
              <wp:positionV relativeFrom="page">
                <wp:posOffset>10108619</wp:posOffset>
              </wp:positionV>
              <wp:extent cx="133286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A0A6" w14:textId="77777777" w:rsidR="004401BF" w:rsidRDefault="00000000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78E9D" id="Textbox 10" o:spid="_x0000_s1027" type="#_x0000_t202" style="position:absolute;margin-left:419.35pt;margin-top:795.95pt;width:104.95pt;height:15.6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" filled="f" stroked="f">
              <v:textbox inset="0,0,0,0">
                <w:txbxContent>
                  <w:p w14:paraId="4188A0A6" w14:textId="77777777" w:rsidR="004401BF" w:rsidRDefault="00000000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533C" w14:textId="77777777" w:rsidR="00F122CB" w:rsidRDefault="00F122CB">
      <w:r>
        <w:separator/>
      </w:r>
    </w:p>
  </w:footnote>
  <w:footnote w:type="continuationSeparator" w:id="0">
    <w:p w14:paraId="4296742A" w14:textId="77777777" w:rsidR="00F122CB" w:rsidRDefault="00F1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1DA9" w14:textId="77777777" w:rsidR="004401BF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856" behindDoc="1" locked="0" layoutInCell="1" allowOverlap="1" wp14:anchorId="0FC62CEF" wp14:editId="40B67702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22FF9F" id="Group 1" o:spid="_x0000_s1026" style="position:absolute;margin-left:255.7pt;margin-top:36pt;width:33.55pt;height:22.4pt;z-index:-1583462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33006BAF" wp14:editId="322FD7E4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2880" behindDoc="1" locked="0" layoutInCell="1" allowOverlap="1" wp14:anchorId="707A0BF5" wp14:editId="1529B6CF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392" behindDoc="1" locked="0" layoutInCell="1" allowOverlap="1" wp14:anchorId="7C56DFF6" wp14:editId="2BDAEC7C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08AF1E4D" wp14:editId="412A2DDD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4416" behindDoc="1" locked="0" layoutInCell="1" allowOverlap="1" wp14:anchorId="0A2E527A" wp14:editId="2E1EC7F8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A375F"/>
    <w:multiLevelType w:val="hybridMultilevel"/>
    <w:tmpl w:val="EDDA5DBA"/>
    <w:lvl w:ilvl="0" w:tplc="4524CDF4">
      <w:numFmt w:val="bullet"/>
      <w:lvlText w:val="•"/>
      <w:lvlJc w:val="left"/>
      <w:pPr>
        <w:ind w:left="318" w:hanging="2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4E79"/>
        <w:spacing w:val="0"/>
        <w:w w:val="107"/>
        <w:sz w:val="22"/>
        <w:szCs w:val="22"/>
        <w:lang w:val="ro-RO" w:eastAsia="en-US" w:bidi="ar-SA"/>
      </w:rPr>
    </w:lvl>
    <w:lvl w:ilvl="1" w:tplc="C20A6F54">
      <w:numFmt w:val="bullet"/>
      <w:lvlText w:val="•"/>
      <w:lvlJc w:val="left"/>
      <w:pPr>
        <w:ind w:left="1072" w:hanging="211"/>
      </w:pPr>
      <w:rPr>
        <w:rFonts w:hint="default"/>
        <w:lang w:val="ro-RO" w:eastAsia="en-US" w:bidi="ar-SA"/>
      </w:rPr>
    </w:lvl>
    <w:lvl w:ilvl="2" w:tplc="5BA2DB6A">
      <w:numFmt w:val="bullet"/>
      <w:lvlText w:val="•"/>
      <w:lvlJc w:val="left"/>
      <w:pPr>
        <w:ind w:left="1824" w:hanging="211"/>
      </w:pPr>
      <w:rPr>
        <w:rFonts w:hint="default"/>
        <w:lang w:val="ro-RO" w:eastAsia="en-US" w:bidi="ar-SA"/>
      </w:rPr>
    </w:lvl>
    <w:lvl w:ilvl="3" w:tplc="05EA3FDA">
      <w:numFmt w:val="bullet"/>
      <w:lvlText w:val="•"/>
      <w:lvlJc w:val="left"/>
      <w:pPr>
        <w:ind w:left="2577" w:hanging="211"/>
      </w:pPr>
      <w:rPr>
        <w:rFonts w:hint="default"/>
        <w:lang w:val="ro-RO" w:eastAsia="en-US" w:bidi="ar-SA"/>
      </w:rPr>
    </w:lvl>
    <w:lvl w:ilvl="4" w:tplc="E9169244">
      <w:numFmt w:val="bullet"/>
      <w:lvlText w:val="•"/>
      <w:lvlJc w:val="left"/>
      <w:pPr>
        <w:ind w:left="3329" w:hanging="211"/>
      </w:pPr>
      <w:rPr>
        <w:rFonts w:hint="default"/>
        <w:lang w:val="ro-RO" w:eastAsia="en-US" w:bidi="ar-SA"/>
      </w:rPr>
    </w:lvl>
    <w:lvl w:ilvl="5" w:tplc="BA0E253A">
      <w:numFmt w:val="bullet"/>
      <w:lvlText w:val="•"/>
      <w:lvlJc w:val="left"/>
      <w:pPr>
        <w:ind w:left="4082" w:hanging="211"/>
      </w:pPr>
      <w:rPr>
        <w:rFonts w:hint="default"/>
        <w:lang w:val="ro-RO" w:eastAsia="en-US" w:bidi="ar-SA"/>
      </w:rPr>
    </w:lvl>
    <w:lvl w:ilvl="6" w:tplc="63B0EFA8">
      <w:numFmt w:val="bullet"/>
      <w:lvlText w:val="•"/>
      <w:lvlJc w:val="left"/>
      <w:pPr>
        <w:ind w:left="4834" w:hanging="211"/>
      </w:pPr>
      <w:rPr>
        <w:rFonts w:hint="default"/>
        <w:lang w:val="ro-RO" w:eastAsia="en-US" w:bidi="ar-SA"/>
      </w:rPr>
    </w:lvl>
    <w:lvl w:ilvl="7" w:tplc="84F06C2C">
      <w:numFmt w:val="bullet"/>
      <w:lvlText w:val="•"/>
      <w:lvlJc w:val="left"/>
      <w:pPr>
        <w:ind w:left="5586" w:hanging="211"/>
      </w:pPr>
      <w:rPr>
        <w:rFonts w:hint="default"/>
        <w:lang w:val="ro-RO" w:eastAsia="en-US" w:bidi="ar-SA"/>
      </w:rPr>
    </w:lvl>
    <w:lvl w:ilvl="8" w:tplc="6EE0F1AC">
      <w:numFmt w:val="bullet"/>
      <w:lvlText w:val="•"/>
      <w:lvlJc w:val="left"/>
      <w:pPr>
        <w:ind w:left="6339" w:hanging="211"/>
      </w:pPr>
      <w:rPr>
        <w:rFonts w:hint="default"/>
        <w:lang w:val="ro-RO" w:eastAsia="en-US" w:bidi="ar-SA"/>
      </w:rPr>
    </w:lvl>
  </w:abstractNum>
  <w:abstractNum w:abstractNumId="1" w15:restartNumberingAfterBreak="0">
    <w:nsid w:val="5E0B08CA"/>
    <w:multiLevelType w:val="hybridMultilevel"/>
    <w:tmpl w:val="B35AF846"/>
    <w:lvl w:ilvl="0" w:tplc="5E5E90F2">
      <w:numFmt w:val="bullet"/>
      <w:lvlText w:val="•"/>
      <w:lvlJc w:val="left"/>
      <w:pPr>
        <w:ind w:left="105" w:hanging="1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4E79"/>
        <w:spacing w:val="0"/>
        <w:w w:val="107"/>
        <w:sz w:val="22"/>
        <w:szCs w:val="22"/>
        <w:lang w:val="ro-RO" w:eastAsia="en-US" w:bidi="ar-SA"/>
      </w:rPr>
    </w:lvl>
    <w:lvl w:ilvl="1" w:tplc="0A8264B2">
      <w:numFmt w:val="bullet"/>
      <w:lvlText w:val="•"/>
      <w:lvlJc w:val="left"/>
      <w:pPr>
        <w:ind w:left="874" w:hanging="175"/>
      </w:pPr>
      <w:rPr>
        <w:rFonts w:hint="default"/>
        <w:lang w:val="ro-RO" w:eastAsia="en-US" w:bidi="ar-SA"/>
      </w:rPr>
    </w:lvl>
    <w:lvl w:ilvl="2" w:tplc="971A348A">
      <w:numFmt w:val="bullet"/>
      <w:lvlText w:val="•"/>
      <w:lvlJc w:val="left"/>
      <w:pPr>
        <w:ind w:left="1648" w:hanging="175"/>
      </w:pPr>
      <w:rPr>
        <w:rFonts w:hint="default"/>
        <w:lang w:val="ro-RO" w:eastAsia="en-US" w:bidi="ar-SA"/>
      </w:rPr>
    </w:lvl>
    <w:lvl w:ilvl="3" w:tplc="0910FE30">
      <w:numFmt w:val="bullet"/>
      <w:lvlText w:val="•"/>
      <w:lvlJc w:val="left"/>
      <w:pPr>
        <w:ind w:left="2423" w:hanging="175"/>
      </w:pPr>
      <w:rPr>
        <w:rFonts w:hint="default"/>
        <w:lang w:val="ro-RO" w:eastAsia="en-US" w:bidi="ar-SA"/>
      </w:rPr>
    </w:lvl>
    <w:lvl w:ilvl="4" w:tplc="0EFA0564">
      <w:numFmt w:val="bullet"/>
      <w:lvlText w:val="•"/>
      <w:lvlJc w:val="left"/>
      <w:pPr>
        <w:ind w:left="3197" w:hanging="175"/>
      </w:pPr>
      <w:rPr>
        <w:rFonts w:hint="default"/>
        <w:lang w:val="ro-RO" w:eastAsia="en-US" w:bidi="ar-SA"/>
      </w:rPr>
    </w:lvl>
    <w:lvl w:ilvl="5" w:tplc="46DCDB86">
      <w:numFmt w:val="bullet"/>
      <w:lvlText w:val="•"/>
      <w:lvlJc w:val="left"/>
      <w:pPr>
        <w:ind w:left="3972" w:hanging="175"/>
      </w:pPr>
      <w:rPr>
        <w:rFonts w:hint="default"/>
        <w:lang w:val="ro-RO" w:eastAsia="en-US" w:bidi="ar-SA"/>
      </w:rPr>
    </w:lvl>
    <w:lvl w:ilvl="6" w:tplc="3932AF90">
      <w:numFmt w:val="bullet"/>
      <w:lvlText w:val="•"/>
      <w:lvlJc w:val="left"/>
      <w:pPr>
        <w:ind w:left="4746" w:hanging="175"/>
      </w:pPr>
      <w:rPr>
        <w:rFonts w:hint="default"/>
        <w:lang w:val="ro-RO" w:eastAsia="en-US" w:bidi="ar-SA"/>
      </w:rPr>
    </w:lvl>
    <w:lvl w:ilvl="7" w:tplc="A65CBDFC">
      <w:numFmt w:val="bullet"/>
      <w:lvlText w:val="•"/>
      <w:lvlJc w:val="left"/>
      <w:pPr>
        <w:ind w:left="5520" w:hanging="175"/>
      </w:pPr>
      <w:rPr>
        <w:rFonts w:hint="default"/>
        <w:lang w:val="ro-RO" w:eastAsia="en-US" w:bidi="ar-SA"/>
      </w:rPr>
    </w:lvl>
    <w:lvl w:ilvl="8" w:tplc="F63C1A72">
      <w:numFmt w:val="bullet"/>
      <w:lvlText w:val="•"/>
      <w:lvlJc w:val="left"/>
      <w:pPr>
        <w:ind w:left="6295" w:hanging="175"/>
      </w:pPr>
      <w:rPr>
        <w:rFonts w:hint="default"/>
        <w:lang w:val="ro-RO" w:eastAsia="en-US" w:bidi="ar-SA"/>
      </w:rPr>
    </w:lvl>
  </w:abstractNum>
  <w:abstractNum w:abstractNumId="2" w15:restartNumberingAfterBreak="0">
    <w:nsid w:val="68683A46"/>
    <w:multiLevelType w:val="hybridMultilevel"/>
    <w:tmpl w:val="A720F2EA"/>
    <w:lvl w:ilvl="0" w:tplc="86BC5134">
      <w:numFmt w:val="bullet"/>
      <w:lvlText w:val="-"/>
      <w:lvlJc w:val="left"/>
      <w:pPr>
        <w:ind w:left="46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4E79"/>
        <w:spacing w:val="0"/>
        <w:w w:val="96"/>
        <w:sz w:val="22"/>
        <w:szCs w:val="22"/>
        <w:lang w:val="ro-RO" w:eastAsia="en-US" w:bidi="ar-SA"/>
      </w:rPr>
    </w:lvl>
    <w:lvl w:ilvl="1" w:tplc="8A86AD34">
      <w:numFmt w:val="bullet"/>
      <w:lvlText w:val="•"/>
      <w:lvlJc w:val="left"/>
      <w:pPr>
        <w:ind w:left="1162" w:hanging="360"/>
      </w:pPr>
      <w:rPr>
        <w:rFonts w:hint="default"/>
        <w:lang w:val="ro-RO" w:eastAsia="en-US" w:bidi="ar-SA"/>
      </w:rPr>
    </w:lvl>
    <w:lvl w:ilvl="2" w:tplc="498499D0">
      <w:numFmt w:val="bullet"/>
      <w:lvlText w:val="•"/>
      <w:lvlJc w:val="left"/>
      <w:pPr>
        <w:ind w:left="1864" w:hanging="360"/>
      </w:pPr>
      <w:rPr>
        <w:rFonts w:hint="default"/>
        <w:lang w:val="ro-RO" w:eastAsia="en-US" w:bidi="ar-SA"/>
      </w:rPr>
    </w:lvl>
    <w:lvl w:ilvl="3" w:tplc="3B269046">
      <w:numFmt w:val="bullet"/>
      <w:lvlText w:val="•"/>
      <w:lvlJc w:val="left"/>
      <w:pPr>
        <w:ind w:left="2567" w:hanging="360"/>
      </w:pPr>
      <w:rPr>
        <w:rFonts w:hint="default"/>
        <w:lang w:val="ro-RO" w:eastAsia="en-US" w:bidi="ar-SA"/>
      </w:rPr>
    </w:lvl>
    <w:lvl w:ilvl="4" w:tplc="6CD0C4DA">
      <w:numFmt w:val="bullet"/>
      <w:lvlText w:val="•"/>
      <w:lvlJc w:val="left"/>
      <w:pPr>
        <w:ind w:left="3269" w:hanging="360"/>
      </w:pPr>
      <w:rPr>
        <w:rFonts w:hint="default"/>
        <w:lang w:val="ro-RO" w:eastAsia="en-US" w:bidi="ar-SA"/>
      </w:rPr>
    </w:lvl>
    <w:lvl w:ilvl="5" w:tplc="692C4A0A">
      <w:numFmt w:val="bullet"/>
      <w:lvlText w:val="•"/>
      <w:lvlJc w:val="left"/>
      <w:pPr>
        <w:ind w:left="3972" w:hanging="360"/>
      </w:pPr>
      <w:rPr>
        <w:rFonts w:hint="default"/>
        <w:lang w:val="ro-RO" w:eastAsia="en-US" w:bidi="ar-SA"/>
      </w:rPr>
    </w:lvl>
    <w:lvl w:ilvl="6" w:tplc="E424D424">
      <w:numFmt w:val="bullet"/>
      <w:lvlText w:val="•"/>
      <w:lvlJc w:val="left"/>
      <w:pPr>
        <w:ind w:left="4674" w:hanging="360"/>
      </w:pPr>
      <w:rPr>
        <w:rFonts w:hint="default"/>
        <w:lang w:val="ro-RO" w:eastAsia="en-US" w:bidi="ar-SA"/>
      </w:rPr>
    </w:lvl>
    <w:lvl w:ilvl="7" w:tplc="10E8F210">
      <w:numFmt w:val="bullet"/>
      <w:lvlText w:val="•"/>
      <w:lvlJc w:val="left"/>
      <w:pPr>
        <w:ind w:left="5376" w:hanging="360"/>
      </w:pPr>
      <w:rPr>
        <w:rFonts w:hint="default"/>
        <w:lang w:val="ro-RO" w:eastAsia="en-US" w:bidi="ar-SA"/>
      </w:rPr>
    </w:lvl>
    <w:lvl w:ilvl="8" w:tplc="F1CCC6CC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</w:abstractNum>
  <w:num w:numId="1" w16cid:durableId="791288852">
    <w:abstractNumId w:val="2"/>
  </w:num>
  <w:num w:numId="2" w16cid:durableId="1243222263">
    <w:abstractNumId w:val="1"/>
  </w:num>
  <w:num w:numId="3" w16cid:durableId="111027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BF"/>
    <w:rsid w:val="00016B30"/>
    <w:rsid w:val="002E5F90"/>
    <w:rsid w:val="004401BF"/>
    <w:rsid w:val="004C4F32"/>
    <w:rsid w:val="00712AE5"/>
    <w:rsid w:val="00A634A4"/>
    <w:rsid w:val="00DE4175"/>
    <w:rsid w:val="00F1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5FD6"/>
  <w15:docId w15:val="{67659277-B33A-4FAF-901A-AEDA9CD8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ourier New" w:eastAsia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reg-rohu.eu/wp-content/uploads/2021/04/ROHU-180-Study_in_RO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nterreg-rohu.eu/wp-content/uploads/2021/04/ROHU-180-Study_in_RO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zentgellerttarsasa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reg-rohu.eu/wp-content/uploads/2021/04/ROHU-180-Study_in_HU.pdf" TargetMode="External"/><Relationship Id="rId10" Type="http://schemas.openxmlformats.org/officeDocument/2006/relationships/hyperlink" Target="http://www.diasporatm.ro/ro/category/proiectul-nodru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entgellert.org/%23!/projektek" TargetMode="External"/><Relationship Id="rId14" Type="http://schemas.openxmlformats.org/officeDocument/2006/relationships/hyperlink" Target="https://interreg-rohu.eu/wp-content/uploads/2021/04/ROHU-180-Study_in_HU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ROHU</cp:lastModifiedBy>
  <cp:revision>2</cp:revision>
  <dcterms:created xsi:type="dcterms:W3CDTF">2026-03-24T10:18:00Z</dcterms:created>
  <dcterms:modified xsi:type="dcterms:W3CDTF">2026-03-24T10:18:00Z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407f9a90-998f-4598-8771-a94948de5ce0</vt:lpwstr>
  </property>
</Properties>
</file>