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591C" w14:textId="77777777" w:rsidR="008974B3" w:rsidRDefault="008974B3">
      <w:pPr>
        <w:pStyle w:val="BodyText"/>
        <w:spacing w:before="125"/>
        <w:rPr>
          <w:rFonts w:ascii="Times New Roman"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8974B3" w:rsidRPr="00C77DE3" w14:paraId="0FCF392C" w14:textId="77777777">
        <w:trPr>
          <w:trHeight w:val="438"/>
        </w:trPr>
        <w:tc>
          <w:tcPr>
            <w:tcW w:w="9740" w:type="dxa"/>
            <w:gridSpan w:val="2"/>
            <w:shd w:val="clear" w:color="auto" w:fill="003399"/>
          </w:tcPr>
          <w:p w14:paraId="63355372" w14:textId="77777777" w:rsidR="008974B3" w:rsidRPr="00C77DE3" w:rsidRDefault="00000000" w:rsidP="00C77DE3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FFFFFF"/>
              </w:rPr>
              <w:t>Apelul Deschis 1 - Proiecte normale</w:t>
            </w:r>
          </w:p>
        </w:tc>
      </w:tr>
      <w:tr w:rsidR="008974B3" w:rsidRPr="00C77DE3" w14:paraId="5318715C" w14:textId="77777777" w:rsidTr="00C77DE3">
        <w:trPr>
          <w:trHeight w:val="276"/>
        </w:trPr>
        <w:tc>
          <w:tcPr>
            <w:tcW w:w="2263" w:type="dxa"/>
          </w:tcPr>
          <w:p w14:paraId="1BD11106" w14:textId="77777777" w:rsidR="008974B3" w:rsidRPr="00C77DE3" w:rsidRDefault="00000000" w:rsidP="00C77DE3">
            <w:pPr>
              <w:pStyle w:val="TableParagraph"/>
              <w:spacing w:line="22" w:lineRule="atLeast"/>
              <w:ind w:left="11" w:right="2"/>
              <w:jc w:val="center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Cod proiect</w:t>
            </w:r>
          </w:p>
        </w:tc>
        <w:tc>
          <w:tcPr>
            <w:tcW w:w="7477" w:type="dxa"/>
          </w:tcPr>
          <w:p w14:paraId="3E86C3F5" w14:textId="77777777" w:rsidR="008974B3" w:rsidRPr="00C77DE3" w:rsidRDefault="00000000" w:rsidP="00C77DE3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ROHU-28</w:t>
            </w:r>
          </w:p>
        </w:tc>
      </w:tr>
      <w:tr w:rsidR="008974B3" w:rsidRPr="00C77DE3" w14:paraId="60ABCC92" w14:textId="77777777" w:rsidTr="00C77DE3">
        <w:trPr>
          <w:trHeight w:val="591"/>
        </w:trPr>
        <w:tc>
          <w:tcPr>
            <w:tcW w:w="2263" w:type="dxa"/>
          </w:tcPr>
          <w:p w14:paraId="6BC1AAB7" w14:textId="77777777" w:rsidR="008974B3" w:rsidRPr="00C77DE3" w:rsidRDefault="00000000" w:rsidP="00C77DE3">
            <w:pPr>
              <w:pStyle w:val="TableParagraph"/>
              <w:spacing w:line="22" w:lineRule="atLeast"/>
              <w:ind w:left="11" w:right="2"/>
              <w:jc w:val="center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Titlu proiect</w:t>
            </w:r>
          </w:p>
        </w:tc>
        <w:tc>
          <w:tcPr>
            <w:tcW w:w="7477" w:type="dxa"/>
          </w:tcPr>
          <w:p w14:paraId="7FBF1594" w14:textId="77777777" w:rsidR="008974B3" w:rsidRPr="00C77DE3" w:rsidRDefault="00000000" w:rsidP="00C77DE3">
            <w:pPr>
              <w:pStyle w:val="TableParagraph"/>
              <w:spacing w:line="22" w:lineRule="atLeast"/>
              <w:ind w:left="107" w:right="158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Dezvoltarea centrului de protecție împotriva inundațiilor din Szanazug și reabilitarea instalațiilor hidrostatice și mecanice din Tulca</w:t>
            </w:r>
          </w:p>
        </w:tc>
      </w:tr>
      <w:tr w:rsidR="008974B3" w:rsidRPr="00C77DE3" w14:paraId="26D12AF7" w14:textId="77777777" w:rsidTr="00C77DE3">
        <w:trPr>
          <w:trHeight w:val="609"/>
        </w:trPr>
        <w:tc>
          <w:tcPr>
            <w:tcW w:w="2263" w:type="dxa"/>
          </w:tcPr>
          <w:p w14:paraId="39D3D5FB" w14:textId="77777777" w:rsidR="008974B3" w:rsidRPr="00C77DE3" w:rsidRDefault="00000000" w:rsidP="00C77DE3">
            <w:pPr>
              <w:pStyle w:val="TableParagraph"/>
              <w:spacing w:line="22" w:lineRule="atLeast"/>
              <w:ind w:left="11" w:right="5"/>
              <w:jc w:val="center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Axa</w:t>
            </w:r>
          </w:p>
          <w:p w14:paraId="0EC4C8F7" w14:textId="77777777" w:rsidR="008974B3" w:rsidRPr="00C77DE3" w:rsidRDefault="00000000" w:rsidP="00C77DE3">
            <w:pPr>
              <w:pStyle w:val="TableParagraph"/>
              <w:spacing w:line="22" w:lineRule="atLeast"/>
              <w:ind w:left="11" w:right="3"/>
              <w:jc w:val="center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prioritară</w:t>
            </w:r>
          </w:p>
        </w:tc>
        <w:tc>
          <w:tcPr>
            <w:tcW w:w="7477" w:type="dxa"/>
          </w:tcPr>
          <w:p w14:paraId="770F738F" w14:textId="77777777" w:rsidR="008974B3" w:rsidRPr="00C77DE3" w:rsidRDefault="00000000" w:rsidP="00C77DE3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5: Îmbunătățirea prevenirii riscurilor și gestionării dezastrelor</w:t>
            </w:r>
          </w:p>
        </w:tc>
      </w:tr>
      <w:tr w:rsidR="008974B3" w:rsidRPr="00C77DE3" w14:paraId="5AAA8BAD" w14:textId="77777777" w:rsidTr="00C77DE3">
        <w:trPr>
          <w:trHeight w:val="897"/>
        </w:trPr>
        <w:tc>
          <w:tcPr>
            <w:tcW w:w="2263" w:type="dxa"/>
          </w:tcPr>
          <w:p w14:paraId="4169FC81" w14:textId="77777777" w:rsidR="008974B3" w:rsidRPr="00C77DE3" w:rsidRDefault="00000000" w:rsidP="00C77DE3">
            <w:pPr>
              <w:pStyle w:val="TableParagraph"/>
              <w:spacing w:line="22" w:lineRule="atLeast"/>
              <w:ind w:left="645" w:hanging="276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Prioritatea de investiții</w:t>
            </w:r>
          </w:p>
        </w:tc>
        <w:tc>
          <w:tcPr>
            <w:tcW w:w="7477" w:type="dxa"/>
          </w:tcPr>
          <w:p w14:paraId="1A08B23D" w14:textId="77777777" w:rsidR="008974B3" w:rsidRPr="00C77DE3" w:rsidRDefault="00000000" w:rsidP="00C77DE3">
            <w:pPr>
              <w:pStyle w:val="TableParagraph"/>
              <w:spacing w:line="22" w:lineRule="atLeast"/>
              <w:ind w:left="107" w:right="97"/>
              <w:jc w:val="both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5/b: Promovarea investițiilor pentru abordarea riscurilor specifice, asigurarea intervenției în cazul dezastrelor și dezvoltarea unui sistem de gestionare a dezastrelor.</w:t>
            </w:r>
          </w:p>
        </w:tc>
      </w:tr>
      <w:tr w:rsidR="008974B3" w:rsidRPr="00C77DE3" w14:paraId="05C17539" w14:textId="77777777" w:rsidTr="00C77DE3">
        <w:trPr>
          <w:trHeight w:val="618"/>
        </w:trPr>
        <w:tc>
          <w:tcPr>
            <w:tcW w:w="2263" w:type="dxa"/>
          </w:tcPr>
          <w:p w14:paraId="5BBD4A8E" w14:textId="77777777" w:rsidR="008974B3" w:rsidRPr="00C77DE3" w:rsidRDefault="00000000" w:rsidP="00C77DE3">
            <w:pPr>
              <w:pStyle w:val="TableParagraph"/>
              <w:spacing w:line="22" w:lineRule="atLeast"/>
              <w:ind w:left="11" w:right="5"/>
              <w:jc w:val="center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Perioada</w:t>
            </w:r>
          </w:p>
          <w:p w14:paraId="07E21A35" w14:textId="77777777" w:rsidR="008974B3" w:rsidRPr="00C77DE3" w:rsidRDefault="00000000" w:rsidP="00C77DE3">
            <w:pPr>
              <w:pStyle w:val="TableParagraph"/>
              <w:spacing w:line="22" w:lineRule="atLeast"/>
              <w:ind w:left="11"/>
              <w:jc w:val="center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implementării</w:t>
            </w:r>
          </w:p>
        </w:tc>
        <w:tc>
          <w:tcPr>
            <w:tcW w:w="7477" w:type="dxa"/>
          </w:tcPr>
          <w:p w14:paraId="081416F5" w14:textId="77777777" w:rsidR="008974B3" w:rsidRPr="00C77DE3" w:rsidRDefault="00000000" w:rsidP="00C77DE3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39 de luni (01.07.2018- 30.09.2021)</w:t>
            </w:r>
          </w:p>
        </w:tc>
      </w:tr>
      <w:tr w:rsidR="008974B3" w:rsidRPr="00C77DE3" w14:paraId="5FF31CD8" w14:textId="77777777" w:rsidTr="00C77DE3">
        <w:trPr>
          <w:trHeight w:val="1149"/>
        </w:trPr>
        <w:tc>
          <w:tcPr>
            <w:tcW w:w="2263" w:type="dxa"/>
          </w:tcPr>
          <w:p w14:paraId="69BAB25E" w14:textId="77777777" w:rsidR="008974B3" w:rsidRPr="00C77DE3" w:rsidRDefault="008974B3" w:rsidP="00C77DE3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3A59B5DD" w14:textId="77777777" w:rsidR="008974B3" w:rsidRPr="00C77DE3" w:rsidRDefault="00000000" w:rsidP="00C77DE3">
            <w:pPr>
              <w:pStyle w:val="TableParagraph"/>
              <w:spacing w:line="22" w:lineRule="atLeast"/>
              <w:ind w:left="11" w:right="3"/>
              <w:jc w:val="center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Obiectiv</w:t>
            </w:r>
          </w:p>
        </w:tc>
        <w:tc>
          <w:tcPr>
            <w:tcW w:w="7477" w:type="dxa"/>
          </w:tcPr>
          <w:p w14:paraId="1EA2A07A" w14:textId="77777777" w:rsidR="008974B3" w:rsidRPr="00C77DE3" w:rsidRDefault="00000000" w:rsidP="00C77DE3">
            <w:pPr>
              <w:pStyle w:val="TableParagraph"/>
              <w:spacing w:line="22" w:lineRule="atLeast"/>
              <w:ind w:left="107" w:right="99"/>
              <w:jc w:val="both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Proiectul și-a propus creșterea eficienței prevenirii comune a inundațiilor, creșterea siguranței protecției împotriva inundațiilor a bazinelor de inundații protejate și modernizarea și dezvoltarea instituțiilor de infrastructură de prevenire.</w:t>
            </w:r>
          </w:p>
        </w:tc>
      </w:tr>
      <w:tr w:rsidR="008974B3" w:rsidRPr="00C77DE3" w14:paraId="6016298D" w14:textId="77777777" w:rsidTr="00C77DE3">
        <w:trPr>
          <w:trHeight w:val="582"/>
        </w:trPr>
        <w:tc>
          <w:tcPr>
            <w:tcW w:w="2263" w:type="dxa"/>
            <w:vMerge w:val="restart"/>
          </w:tcPr>
          <w:p w14:paraId="0CA670F9" w14:textId="77777777" w:rsidR="008974B3" w:rsidRPr="00C77DE3" w:rsidRDefault="008974B3" w:rsidP="00C77DE3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6848C683" w14:textId="77777777" w:rsidR="008974B3" w:rsidRPr="00C77DE3" w:rsidRDefault="008974B3" w:rsidP="00C77DE3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4AF4896C" w14:textId="77777777" w:rsidR="008974B3" w:rsidRPr="00C77DE3" w:rsidRDefault="00000000" w:rsidP="00C77DE3">
            <w:pPr>
              <w:pStyle w:val="TableParagraph"/>
              <w:spacing w:line="22" w:lineRule="atLeast"/>
              <w:ind w:left="496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Parteneriat</w:t>
            </w:r>
          </w:p>
        </w:tc>
        <w:tc>
          <w:tcPr>
            <w:tcW w:w="7477" w:type="dxa"/>
          </w:tcPr>
          <w:p w14:paraId="2248DB6A" w14:textId="77777777" w:rsidR="008974B3" w:rsidRPr="00C77DE3" w:rsidRDefault="00000000" w:rsidP="00C77DE3">
            <w:pPr>
              <w:pStyle w:val="TableParagraph"/>
              <w:tabs>
                <w:tab w:val="left" w:pos="1435"/>
                <w:tab w:val="left" w:pos="2671"/>
                <w:tab w:val="left" w:pos="4252"/>
                <w:tab w:val="left" w:pos="5449"/>
                <w:tab w:val="left" w:pos="6234"/>
                <w:tab w:val="left" w:pos="7297"/>
              </w:tabs>
              <w:spacing w:line="22" w:lineRule="atLeast"/>
              <w:ind w:left="107" w:right="96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Beneficiar</w:t>
            </w:r>
            <w:r w:rsidRPr="00C77DE3">
              <w:rPr>
                <w:rFonts w:ascii="Open Sans" w:hAnsi="Open Sans" w:cs="Open Sans"/>
                <w:color w:val="003399"/>
              </w:rPr>
              <w:tab/>
              <w:t>Principal:</w:t>
            </w:r>
            <w:r w:rsidRPr="00C77DE3">
              <w:rPr>
                <w:rFonts w:ascii="Open Sans" w:hAnsi="Open Sans" w:cs="Open Sans"/>
                <w:color w:val="003399"/>
              </w:rPr>
              <w:tab/>
              <w:t>Administrația</w:t>
            </w:r>
            <w:r w:rsidRPr="00C77DE3">
              <w:rPr>
                <w:rFonts w:ascii="Open Sans" w:hAnsi="Open Sans" w:cs="Open Sans"/>
                <w:color w:val="003399"/>
              </w:rPr>
              <w:tab/>
              <w:t>Națională</w:t>
            </w:r>
            <w:r w:rsidRPr="00C77DE3">
              <w:rPr>
                <w:rFonts w:ascii="Open Sans" w:hAnsi="Open Sans" w:cs="Open Sans"/>
                <w:color w:val="003399"/>
              </w:rPr>
              <w:tab/>
              <w:t>Apele</w:t>
            </w:r>
            <w:r w:rsidRPr="00C77DE3">
              <w:rPr>
                <w:rFonts w:ascii="Open Sans" w:hAnsi="Open Sans" w:cs="Open Sans"/>
                <w:color w:val="003399"/>
              </w:rPr>
              <w:tab/>
              <w:t>Române</w:t>
            </w:r>
            <w:r w:rsidRPr="00C77DE3">
              <w:rPr>
                <w:rFonts w:ascii="Open Sans" w:hAnsi="Open Sans" w:cs="Open Sans"/>
                <w:color w:val="003399"/>
              </w:rPr>
              <w:tab/>
              <w:t>- Administrația Bazinală de Apă Crișuri (România)</w:t>
            </w:r>
          </w:p>
        </w:tc>
      </w:tr>
      <w:tr w:rsidR="008974B3" w:rsidRPr="00C77DE3" w14:paraId="4D1D3604" w14:textId="77777777" w:rsidTr="00C77DE3">
        <w:trPr>
          <w:trHeight w:val="510"/>
        </w:trPr>
        <w:tc>
          <w:tcPr>
            <w:tcW w:w="2263" w:type="dxa"/>
            <w:vMerge/>
            <w:tcBorders>
              <w:top w:val="nil"/>
            </w:tcBorders>
          </w:tcPr>
          <w:p w14:paraId="4D450154" w14:textId="77777777" w:rsidR="008974B3" w:rsidRPr="00C77DE3" w:rsidRDefault="008974B3" w:rsidP="00C77DE3">
            <w:pPr>
              <w:spacing w:line="22" w:lineRule="atLeast"/>
              <w:rPr>
                <w:rFonts w:ascii="Open Sans" w:hAnsi="Open Sans" w:cs="Open Sans"/>
              </w:rPr>
            </w:pPr>
          </w:p>
        </w:tc>
        <w:tc>
          <w:tcPr>
            <w:tcW w:w="7477" w:type="dxa"/>
          </w:tcPr>
          <w:p w14:paraId="6B50DE10" w14:textId="77777777" w:rsidR="008974B3" w:rsidRPr="00C77DE3" w:rsidRDefault="00000000" w:rsidP="00C77DE3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Parteneri de proiect:</w:t>
            </w:r>
          </w:p>
          <w:p w14:paraId="1863F0E5" w14:textId="77777777" w:rsidR="008974B3" w:rsidRPr="00C77DE3" w:rsidRDefault="00000000" w:rsidP="00C77DE3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PP2: Direcția de Apă a Districtului Valea Crișurilor (Ungaria)</w:t>
            </w:r>
          </w:p>
        </w:tc>
      </w:tr>
      <w:tr w:rsidR="008974B3" w:rsidRPr="00C77DE3" w14:paraId="36D1446B" w14:textId="77777777" w:rsidTr="00C77DE3">
        <w:trPr>
          <w:trHeight w:val="798"/>
        </w:trPr>
        <w:tc>
          <w:tcPr>
            <w:tcW w:w="2263" w:type="dxa"/>
          </w:tcPr>
          <w:p w14:paraId="74AE1376" w14:textId="77777777" w:rsidR="008974B3" w:rsidRPr="00C77DE3" w:rsidRDefault="00000000" w:rsidP="00C77DE3">
            <w:pPr>
              <w:pStyle w:val="TableParagraph"/>
              <w:spacing w:line="22" w:lineRule="atLeast"/>
              <w:ind w:left="11" w:right="4"/>
              <w:jc w:val="center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Buget TOTAL</w:t>
            </w:r>
          </w:p>
        </w:tc>
        <w:tc>
          <w:tcPr>
            <w:tcW w:w="7477" w:type="dxa"/>
          </w:tcPr>
          <w:p w14:paraId="552D982B" w14:textId="77777777" w:rsidR="008974B3" w:rsidRPr="00C77DE3" w:rsidRDefault="00000000" w:rsidP="00C77DE3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1.961.546,22 Euro, din care FEDR 1.667.314,28 Euro</w:t>
            </w:r>
          </w:p>
          <w:p w14:paraId="3F8F1FD1" w14:textId="77777777" w:rsidR="008974B3" w:rsidRPr="00C77DE3" w:rsidRDefault="00000000" w:rsidP="00C77DE3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Totalul cheltuielilor eligibile decontate prin proiect: 1.861.268,60 Euro</w:t>
            </w:r>
          </w:p>
          <w:p w14:paraId="3A10EFEE" w14:textId="77777777" w:rsidR="008974B3" w:rsidRPr="00C77DE3" w:rsidRDefault="00000000" w:rsidP="00C77DE3">
            <w:pPr>
              <w:pStyle w:val="TableParagraph"/>
              <w:spacing w:line="22" w:lineRule="atLeast"/>
              <w:ind w:left="165"/>
              <w:rPr>
                <w:rFonts w:ascii="Open Sans" w:hAnsi="Open Sans" w:cs="Open Sans"/>
                <w:b/>
                <w:i/>
              </w:rPr>
            </w:pPr>
            <w:r w:rsidRPr="00C77DE3">
              <w:rPr>
                <w:rFonts w:ascii="Open Sans" w:hAnsi="Open Sans" w:cs="Open Sans"/>
                <w:b/>
                <w:i/>
                <w:color w:val="003399"/>
              </w:rPr>
              <w:t>Execuția bugetară: 94,89%.</w:t>
            </w:r>
          </w:p>
        </w:tc>
      </w:tr>
      <w:tr w:rsidR="008974B3" w:rsidRPr="00C77DE3" w14:paraId="69F65594" w14:textId="77777777">
        <w:trPr>
          <w:trHeight w:val="3295"/>
        </w:trPr>
        <w:tc>
          <w:tcPr>
            <w:tcW w:w="2263" w:type="dxa"/>
          </w:tcPr>
          <w:p w14:paraId="153A973D" w14:textId="77777777" w:rsidR="008974B3" w:rsidRPr="00C77DE3" w:rsidRDefault="008974B3" w:rsidP="00C77DE3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03C8B4E3" w14:textId="77777777" w:rsidR="008974B3" w:rsidRPr="00C77DE3" w:rsidRDefault="008974B3" w:rsidP="00C77DE3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45D02502" w14:textId="77777777" w:rsidR="008974B3" w:rsidRPr="00C77DE3" w:rsidRDefault="008974B3" w:rsidP="00C77DE3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5D288E93" w14:textId="77777777" w:rsidR="008974B3" w:rsidRPr="00C77DE3" w:rsidRDefault="008974B3" w:rsidP="00C77DE3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77F276DD" w14:textId="77777777" w:rsidR="008974B3" w:rsidRPr="00C77DE3" w:rsidRDefault="008974B3" w:rsidP="00C77DE3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2BC6F7D8" w14:textId="77777777" w:rsidR="008974B3" w:rsidRPr="00C77DE3" w:rsidRDefault="00000000" w:rsidP="00C77DE3">
            <w:pPr>
              <w:pStyle w:val="TableParagraph"/>
              <w:spacing w:line="22" w:lineRule="atLeast"/>
              <w:ind w:left="11" w:right="3"/>
              <w:jc w:val="center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Sumar</w:t>
            </w:r>
          </w:p>
        </w:tc>
        <w:tc>
          <w:tcPr>
            <w:tcW w:w="7477" w:type="dxa"/>
          </w:tcPr>
          <w:p w14:paraId="0B1EE12E" w14:textId="40AFDF7B" w:rsidR="008974B3" w:rsidRPr="00C77DE3" w:rsidRDefault="00000000" w:rsidP="00C77DE3">
            <w:pPr>
              <w:pStyle w:val="TableParagraph"/>
              <w:spacing w:line="22" w:lineRule="atLeast"/>
              <w:ind w:left="107" w:right="97"/>
              <w:jc w:val="both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Proiectul a urmărit asigurarea unor acțiuni prompte legate de situațiile de urgență și gestionarea dezastrelor în bazinul transfrontalier Crișul Repede și Crișul Negru, dezvoltare durabilă</w:t>
            </w:r>
            <w:r w:rsidR="00C77DE3">
              <w:rPr>
                <w:rFonts w:ascii="Open Sans" w:hAnsi="Open Sans" w:cs="Open Sans"/>
                <w:color w:val="003399"/>
              </w:rPr>
              <w:t>,</w:t>
            </w:r>
            <w:r w:rsidRPr="00C77DE3">
              <w:rPr>
                <w:rFonts w:ascii="Open Sans" w:hAnsi="Open Sans" w:cs="Open Sans"/>
                <w:color w:val="003399"/>
              </w:rPr>
              <w:t xml:space="preserve"> iar, ca rol secundar, asigurarea apei necesare în perioada secetei.</w:t>
            </w:r>
          </w:p>
          <w:p w14:paraId="3AB14EAB" w14:textId="77777777" w:rsidR="008974B3" w:rsidRPr="00C77DE3" w:rsidRDefault="008974B3" w:rsidP="00C77DE3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3F23CF5C" w14:textId="7771C2F7" w:rsidR="008974B3" w:rsidRPr="00C77DE3" w:rsidRDefault="00000000" w:rsidP="00C77DE3">
            <w:pPr>
              <w:pStyle w:val="TableParagraph"/>
              <w:spacing w:line="22" w:lineRule="atLeast"/>
              <w:ind w:left="165" w:right="838" w:hanging="58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b/>
                <w:bCs/>
                <w:color w:val="003399"/>
              </w:rPr>
              <w:t>Activitățile principale implementate</w:t>
            </w:r>
            <w:r w:rsidRPr="00C77DE3">
              <w:rPr>
                <w:rFonts w:ascii="Open Sans" w:hAnsi="Open Sans" w:cs="Open Sans"/>
                <w:color w:val="003399"/>
              </w:rPr>
              <w:t xml:space="preserve"> în cadrul proiectului: </w:t>
            </w:r>
          </w:p>
          <w:p w14:paraId="5BD6E312" w14:textId="77777777" w:rsidR="008974B3" w:rsidRPr="00C77DE3" w:rsidRDefault="00000000" w:rsidP="00C77DE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2" w:lineRule="atLeast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Reabilitarea construcției existente a barajului Tulca</w:t>
            </w:r>
          </w:p>
          <w:p w14:paraId="5DD223E5" w14:textId="77777777" w:rsidR="008974B3" w:rsidRPr="00C77DE3" w:rsidRDefault="00000000" w:rsidP="00C77DE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2" w:lineRule="atLeast"/>
              <w:ind w:right="99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Achiziționarea și instalarea de echipamente hidromecanice, inclusiv grătarele cu auto curățare</w:t>
            </w:r>
          </w:p>
          <w:p w14:paraId="1FADB160" w14:textId="77777777" w:rsidR="008974B3" w:rsidRPr="00C77DE3" w:rsidRDefault="00000000" w:rsidP="00C77DE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2" w:lineRule="atLeast"/>
              <w:rPr>
                <w:rFonts w:ascii="Open Sans" w:hAnsi="Open Sans" w:cs="Open Sans"/>
              </w:rPr>
            </w:pPr>
            <w:r w:rsidRPr="00C77DE3">
              <w:rPr>
                <w:rFonts w:ascii="Open Sans" w:hAnsi="Open Sans" w:cs="Open Sans"/>
                <w:color w:val="003399"/>
              </w:rPr>
              <w:t>Instalarea conexiunii electrice modernizate pentru barajul Tulca</w:t>
            </w:r>
          </w:p>
          <w:p w14:paraId="7663133C" w14:textId="77777777" w:rsidR="00C77DE3" w:rsidRPr="00C77DE3" w:rsidRDefault="00C77DE3" w:rsidP="00C77DE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2154"/>
                <w:tab w:val="left" w:pos="3330"/>
                <w:tab w:val="left" w:pos="3819"/>
                <w:tab w:val="left" w:pos="4970"/>
                <w:tab w:val="left" w:pos="6181"/>
              </w:tabs>
              <w:spacing w:line="22" w:lineRule="atLeast"/>
              <w:ind w:right="98"/>
              <w:rPr>
                <w:rFonts w:ascii="Open Sans" w:hAnsi="Open Sans" w:cs="Open Sans"/>
                <w:color w:val="003399"/>
              </w:rPr>
            </w:pPr>
            <w:r w:rsidRPr="00C77DE3">
              <w:rPr>
                <w:rFonts w:ascii="Open Sans" w:hAnsi="Open Sans" w:cs="Open Sans"/>
                <w:color w:val="003399"/>
              </w:rPr>
              <w:t>Renovarea</w:t>
            </w:r>
            <w:r w:rsidRPr="00C77DE3">
              <w:rPr>
                <w:rFonts w:ascii="Open Sans" w:hAnsi="Open Sans" w:cs="Open Sans"/>
                <w:color w:val="003399"/>
              </w:rPr>
              <w:tab/>
              <w:t>Centrului</w:t>
            </w:r>
            <w:r w:rsidRPr="00C77DE3">
              <w:rPr>
                <w:rFonts w:ascii="Open Sans" w:hAnsi="Open Sans" w:cs="Open Sans"/>
                <w:color w:val="003399"/>
              </w:rPr>
              <w:tab/>
              <w:t>de</w:t>
            </w:r>
            <w:r w:rsidRPr="00C77DE3">
              <w:rPr>
                <w:rFonts w:ascii="Open Sans" w:hAnsi="Open Sans" w:cs="Open Sans"/>
                <w:color w:val="003399"/>
              </w:rPr>
              <w:tab/>
              <w:t>protecție</w:t>
            </w:r>
            <w:r w:rsidRPr="00C77DE3">
              <w:rPr>
                <w:rFonts w:ascii="Open Sans" w:hAnsi="Open Sans" w:cs="Open Sans"/>
                <w:color w:val="003399"/>
              </w:rPr>
              <w:tab/>
              <w:t>împotriva</w:t>
            </w:r>
            <w:r w:rsidRPr="00C77DE3">
              <w:rPr>
                <w:rFonts w:ascii="Open Sans" w:hAnsi="Open Sans" w:cs="Open Sans"/>
                <w:color w:val="003399"/>
              </w:rPr>
              <w:tab/>
              <w:t>inundațiilor Szanazug, dependințele, parcarea și platforma plutitoare</w:t>
            </w:r>
          </w:p>
          <w:p w14:paraId="51E5E1A0" w14:textId="77777777" w:rsidR="00C77DE3" w:rsidRPr="00C77DE3" w:rsidRDefault="00C77DE3" w:rsidP="00C77DE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2" w:lineRule="atLeast"/>
              <w:ind w:right="100"/>
              <w:rPr>
                <w:rFonts w:ascii="Open Sans" w:hAnsi="Open Sans" w:cs="Open Sans"/>
                <w:color w:val="003399"/>
              </w:rPr>
            </w:pPr>
            <w:r w:rsidRPr="00C77DE3">
              <w:rPr>
                <w:rFonts w:ascii="Open Sans" w:hAnsi="Open Sans" w:cs="Open Sans"/>
                <w:color w:val="003399"/>
              </w:rPr>
              <w:t>Achiziționarea de echipamente pentru echipele de management (4 laptopuri, 1 imprimantă)</w:t>
            </w:r>
          </w:p>
          <w:p w14:paraId="7B0DA8A3" w14:textId="77777777" w:rsidR="00C77DE3" w:rsidRDefault="00C77DE3" w:rsidP="00C77DE3">
            <w:pPr>
              <w:pStyle w:val="TableParagraph"/>
              <w:spacing w:line="22" w:lineRule="atLeast"/>
              <w:rPr>
                <w:rFonts w:ascii="Times New Roman"/>
              </w:rPr>
            </w:pPr>
          </w:p>
          <w:p w14:paraId="61B7F9C8" w14:textId="30F88C39" w:rsidR="00C77DE3" w:rsidRPr="00C77DE3" w:rsidRDefault="00C77DE3" w:rsidP="00C77DE3">
            <w:pPr>
              <w:pStyle w:val="TableParagraph"/>
              <w:spacing w:line="22" w:lineRule="atLeast"/>
              <w:ind w:left="107" w:right="838"/>
              <w:rPr>
                <w:rFonts w:ascii="Arial" w:hAnsi="Arial"/>
                <w:b/>
                <w:bCs/>
                <w:i/>
                <w:iCs/>
              </w:rPr>
            </w:pPr>
            <w:r w:rsidRPr="00C77DE3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>Proiectul a fost finalizat cu succes, la data de 30.09.2021. Toate activitățile prevăzute in proiect au fost realizate (100%).</w:t>
            </w:r>
          </w:p>
        </w:tc>
      </w:tr>
    </w:tbl>
    <w:p w14:paraId="2A3E0C7F" w14:textId="77777777" w:rsidR="008974B3" w:rsidRDefault="008974B3">
      <w:pPr>
        <w:pStyle w:val="TableParagraph"/>
        <w:sectPr w:rsidR="008974B3">
          <w:headerReference w:type="default" r:id="rId7"/>
          <w:footerReference w:type="default" r:id="rId8"/>
          <w:type w:val="continuous"/>
          <w:pgSz w:w="11910" w:h="16840"/>
          <w:pgMar w:top="2000" w:right="708" w:bottom="1220" w:left="1417" w:header="720" w:footer="1032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8974B3" w:rsidRPr="00847EE0" w14:paraId="291FB281" w14:textId="77777777">
        <w:trPr>
          <w:trHeight w:val="3895"/>
        </w:trPr>
        <w:tc>
          <w:tcPr>
            <w:tcW w:w="2263" w:type="dxa"/>
          </w:tcPr>
          <w:p w14:paraId="35F41D2B" w14:textId="77777777" w:rsidR="008974B3" w:rsidRPr="00847EE0" w:rsidRDefault="008974B3" w:rsidP="00847EE0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710FDD60" w14:textId="77777777" w:rsidR="008974B3" w:rsidRPr="00847EE0" w:rsidRDefault="008974B3" w:rsidP="00847EE0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08AC9527" w14:textId="77777777" w:rsidR="008974B3" w:rsidRPr="00847EE0" w:rsidRDefault="008974B3" w:rsidP="00847EE0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5FE2B496" w14:textId="77777777" w:rsidR="008974B3" w:rsidRPr="00847EE0" w:rsidRDefault="008974B3" w:rsidP="00847EE0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1736B9E8" w14:textId="77777777" w:rsidR="008974B3" w:rsidRPr="00847EE0" w:rsidRDefault="008974B3" w:rsidP="00847EE0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2986C3D6" w14:textId="77777777" w:rsidR="008974B3" w:rsidRPr="00847EE0" w:rsidRDefault="008974B3" w:rsidP="00847EE0">
            <w:pPr>
              <w:pStyle w:val="TableParagraph"/>
              <w:spacing w:line="22" w:lineRule="atLeast"/>
              <w:rPr>
                <w:rFonts w:ascii="Open Sans" w:hAnsi="Open Sans" w:cs="Open Sans"/>
              </w:rPr>
            </w:pPr>
          </w:p>
          <w:p w14:paraId="3213B851" w14:textId="77777777" w:rsidR="008974B3" w:rsidRPr="00847EE0" w:rsidRDefault="00000000" w:rsidP="00847EE0">
            <w:pPr>
              <w:pStyle w:val="TableParagraph"/>
              <w:spacing w:line="22" w:lineRule="atLeast"/>
              <w:ind w:left="501" w:firstLine="103"/>
              <w:rPr>
                <w:rFonts w:ascii="Open Sans" w:hAnsi="Open Sans" w:cs="Open Sans"/>
                <w:b/>
                <w:bCs/>
              </w:rPr>
            </w:pPr>
            <w:r w:rsidRPr="00847EE0">
              <w:rPr>
                <w:rFonts w:ascii="Open Sans" w:hAnsi="Open Sans" w:cs="Open Sans"/>
                <w:b/>
                <w:bCs/>
                <w:color w:val="003399"/>
              </w:rPr>
              <w:t>Rezultate importante</w:t>
            </w:r>
          </w:p>
        </w:tc>
        <w:tc>
          <w:tcPr>
            <w:tcW w:w="7477" w:type="dxa"/>
          </w:tcPr>
          <w:p w14:paraId="134B95D0" w14:textId="6FD626BB" w:rsidR="00847EE0" w:rsidRPr="00847EE0" w:rsidRDefault="00847EE0" w:rsidP="00847EE0">
            <w:pPr>
              <w:pStyle w:val="TableParagraph"/>
              <w:spacing w:line="22" w:lineRule="atLeast"/>
              <w:ind w:left="107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847EE0">
              <w:rPr>
                <w:rFonts w:ascii="Open Sans" w:hAnsi="Open Sans" w:cs="Open Sans"/>
                <w:b/>
                <w:bCs/>
                <w:color w:val="003399"/>
              </w:rPr>
              <w:t>Livrabile</w:t>
            </w:r>
            <w:r w:rsidRPr="00847EE0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55BF1923" w14:textId="4A811C18" w:rsidR="00847EE0" w:rsidRPr="00847EE0" w:rsidRDefault="00847EE0" w:rsidP="00847EE0">
            <w:pPr>
              <w:pStyle w:val="TableParagraph"/>
              <w:spacing w:line="22" w:lineRule="atLeast"/>
              <w:ind w:left="107"/>
              <w:jc w:val="both"/>
              <w:rPr>
                <w:rFonts w:ascii="Open Sans" w:hAnsi="Open Sans" w:cs="Open Sans"/>
                <w:color w:val="003399"/>
              </w:rPr>
            </w:pPr>
            <w:r w:rsidRPr="00847EE0">
              <w:rPr>
                <w:rFonts w:ascii="Open Sans" w:hAnsi="Open Sans" w:cs="Open Sans"/>
                <w:color w:val="003399"/>
              </w:rPr>
              <w:t xml:space="preserve">1) Echipamente de birou achiziționate, </w:t>
            </w:r>
            <w:r w:rsidR="0025175B">
              <w:rPr>
                <w:rFonts w:ascii="Open Sans" w:hAnsi="Open Sans" w:cs="Open Sans"/>
                <w:color w:val="003399"/>
              </w:rPr>
              <w:t>de</w:t>
            </w:r>
            <w:r w:rsidRPr="00847EE0">
              <w:rPr>
                <w:rFonts w:ascii="Open Sans" w:hAnsi="Open Sans" w:cs="Open Sans"/>
                <w:color w:val="003399"/>
              </w:rPr>
              <w:t xml:space="preserve"> ambi</w:t>
            </w:r>
            <w:r w:rsidR="0025175B">
              <w:rPr>
                <w:rFonts w:ascii="Open Sans" w:hAnsi="Open Sans" w:cs="Open Sans"/>
                <w:color w:val="003399"/>
              </w:rPr>
              <w:t>i</w:t>
            </w:r>
            <w:r w:rsidRPr="00847EE0">
              <w:rPr>
                <w:rFonts w:ascii="Open Sans" w:hAnsi="Open Sans" w:cs="Open Sans"/>
                <w:color w:val="003399"/>
              </w:rPr>
              <w:t xml:space="preserve"> parteneri, pentru a fi utilizate de către angajații lor, precum și de către experții în inundații implicați în misiunile de protecție împotriva inundațiilor, în perioada de control al inundațiilor;</w:t>
            </w:r>
          </w:p>
          <w:p w14:paraId="1F3445FC" w14:textId="556D9CC4" w:rsidR="00847EE0" w:rsidRPr="00847EE0" w:rsidRDefault="00847EE0" w:rsidP="00847EE0">
            <w:pPr>
              <w:pStyle w:val="TableParagraph"/>
              <w:spacing w:line="22" w:lineRule="atLeast"/>
              <w:ind w:left="107"/>
              <w:jc w:val="both"/>
              <w:rPr>
                <w:rFonts w:ascii="Open Sans" w:hAnsi="Open Sans" w:cs="Open Sans"/>
                <w:color w:val="003399"/>
              </w:rPr>
            </w:pPr>
            <w:r w:rsidRPr="00847EE0">
              <w:rPr>
                <w:rFonts w:ascii="Open Sans" w:hAnsi="Open Sans" w:cs="Open Sans"/>
                <w:color w:val="003399"/>
              </w:rPr>
              <w:t>2) Centrul de Protecție împotriva Inundațiilor Szanazug reabilitat.</w:t>
            </w:r>
          </w:p>
          <w:p w14:paraId="336D8819" w14:textId="77777777" w:rsidR="00847EE0" w:rsidRPr="00847EE0" w:rsidRDefault="00847EE0" w:rsidP="00847EE0">
            <w:pPr>
              <w:pStyle w:val="TableParagraph"/>
              <w:spacing w:line="22" w:lineRule="atLeast"/>
              <w:ind w:left="107"/>
              <w:jc w:val="both"/>
              <w:rPr>
                <w:rFonts w:ascii="Open Sans" w:hAnsi="Open Sans" w:cs="Open Sans"/>
                <w:color w:val="003399"/>
              </w:rPr>
            </w:pPr>
            <w:r w:rsidRPr="00847EE0">
              <w:rPr>
                <w:rFonts w:ascii="Open Sans" w:hAnsi="Open Sans" w:cs="Open Sans"/>
                <w:color w:val="003399"/>
              </w:rPr>
              <w:t>3) Cele două platforme plutitoare de-a lungul malului râului au fost renovate.</w:t>
            </w:r>
          </w:p>
          <w:p w14:paraId="433AF2DF" w14:textId="0C0AFFBA" w:rsidR="00847EE0" w:rsidRPr="00847EE0" w:rsidRDefault="00847EE0" w:rsidP="00847EE0">
            <w:pPr>
              <w:pStyle w:val="TableParagraph"/>
              <w:spacing w:line="22" w:lineRule="atLeast"/>
              <w:ind w:left="107"/>
              <w:jc w:val="both"/>
              <w:rPr>
                <w:rFonts w:ascii="Open Sans" w:hAnsi="Open Sans" w:cs="Open Sans"/>
                <w:color w:val="003399"/>
              </w:rPr>
            </w:pPr>
            <w:r w:rsidRPr="00847EE0">
              <w:rPr>
                <w:rFonts w:ascii="Open Sans" w:hAnsi="Open Sans" w:cs="Open Sans"/>
                <w:color w:val="003399"/>
              </w:rPr>
              <w:t>4) Construcția existentă a barajului Tulca reabilitată. Echipamentul hidromecanic existent pentru închiderea și deschiderea barajului a fost înlocuit.</w:t>
            </w:r>
          </w:p>
          <w:p w14:paraId="51D3E3EB" w14:textId="77777777" w:rsidR="00847EE0" w:rsidRPr="00847EE0" w:rsidRDefault="00847EE0" w:rsidP="00847EE0">
            <w:pPr>
              <w:pStyle w:val="TableParagraph"/>
              <w:spacing w:line="22" w:lineRule="atLeast"/>
              <w:ind w:left="107"/>
              <w:jc w:val="both"/>
              <w:rPr>
                <w:rFonts w:ascii="Open Sans" w:hAnsi="Open Sans" w:cs="Open Sans"/>
                <w:color w:val="003399"/>
              </w:rPr>
            </w:pPr>
          </w:p>
          <w:p w14:paraId="3992D185" w14:textId="22C38D8F" w:rsidR="008974B3" w:rsidRPr="00847EE0" w:rsidRDefault="00000000" w:rsidP="00847EE0">
            <w:pPr>
              <w:pStyle w:val="TableParagraph"/>
              <w:spacing w:line="22" w:lineRule="atLeast"/>
              <w:ind w:left="107"/>
              <w:jc w:val="both"/>
              <w:rPr>
                <w:rFonts w:ascii="Open Sans" w:hAnsi="Open Sans" w:cs="Open Sans"/>
              </w:rPr>
            </w:pPr>
            <w:r w:rsidRPr="00847EE0">
              <w:rPr>
                <w:rFonts w:ascii="Open Sans" w:hAnsi="Open Sans" w:cs="Open Sans"/>
                <w:b/>
                <w:bCs/>
                <w:color w:val="003399"/>
              </w:rPr>
              <w:t>Rezultate</w:t>
            </w:r>
            <w:r w:rsidRPr="00847EE0">
              <w:rPr>
                <w:rFonts w:ascii="Open Sans" w:hAnsi="Open Sans" w:cs="Open Sans"/>
                <w:color w:val="003399"/>
              </w:rPr>
              <w:t>:</w:t>
            </w:r>
          </w:p>
          <w:p w14:paraId="6CDE8FFE" w14:textId="45532B1E" w:rsidR="0025175B" w:rsidRPr="0025175B" w:rsidRDefault="0025175B" w:rsidP="0025175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2" w:lineRule="atLeast"/>
              <w:jc w:val="both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color w:val="003399"/>
              </w:rPr>
              <w:t>R</w:t>
            </w:r>
            <w:r w:rsidRPr="0025175B">
              <w:rPr>
                <w:rFonts w:ascii="Open Sans" w:hAnsi="Open Sans" w:cs="Open Sans"/>
                <w:color w:val="003399"/>
              </w:rPr>
              <w:t>eabilitarea barajului existent din Tulca, asigurând protecția locuitorilor dintre Crișul Repede și Crișul Negru, precum și a obiectivelor socio-economice din zonele afectate.</w:t>
            </w:r>
          </w:p>
          <w:p w14:paraId="0A845662" w14:textId="32F8272B" w:rsidR="0025175B" w:rsidRPr="0025175B" w:rsidRDefault="0025175B" w:rsidP="0025175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2" w:lineRule="atLeast"/>
              <w:jc w:val="both"/>
              <w:rPr>
                <w:rFonts w:ascii="Open Sans" w:hAnsi="Open Sans" w:cs="Open Sans"/>
                <w:color w:val="003399"/>
              </w:rPr>
            </w:pPr>
            <w:r w:rsidRPr="0025175B">
              <w:rPr>
                <w:rFonts w:ascii="Open Sans" w:hAnsi="Open Sans" w:cs="Open Sans"/>
                <w:color w:val="003399"/>
              </w:rPr>
              <w:t>Centrul de Protecție împotriva Inundațiilor din Szanazug, renovat, dezvoltat prin infrastructura de control al inundațiilor a KÖVIZIG, contribuie la apărarea împotriva dezastrelor în zona transfrontalieră, crescând eficiența activităților de prevenire a dezastrelor.</w:t>
            </w:r>
          </w:p>
          <w:p w14:paraId="0D9E7C23" w14:textId="703B20AE" w:rsidR="00C77DE3" w:rsidRPr="00847EE0" w:rsidRDefault="0025175B" w:rsidP="0025175B">
            <w:pPr>
              <w:pStyle w:val="TableParagraph"/>
              <w:numPr>
                <w:ilvl w:val="0"/>
                <w:numId w:val="6"/>
              </w:numPr>
              <w:spacing w:line="22" w:lineRule="atLeast"/>
              <w:ind w:right="93"/>
              <w:jc w:val="both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color w:val="003399"/>
              </w:rPr>
              <w:t>A</w:t>
            </w:r>
            <w:r w:rsidRPr="0025175B">
              <w:rPr>
                <w:rFonts w:ascii="Open Sans" w:hAnsi="Open Sans" w:cs="Open Sans"/>
                <w:color w:val="003399"/>
              </w:rPr>
              <w:t>cțiuni prompte legate de situațiile de urgență și gestionarea dezastrelor în bazinul transfrontalier Crișul Repede și Crișul Negru, dezvoltarea durabilă și, ca rol secundar, asigurarea apei necesare în perioadele secetoase.</w:t>
            </w:r>
          </w:p>
          <w:p w14:paraId="0976905B" w14:textId="77777777" w:rsidR="0025175B" w:rsidRDefault="0025175B" w:rsidP="00847EE0">
            <w:pPr>
              <w:pStyle w:val="TableParagraph"/>
              <w:spacing w:line="22" w:lineRule="atLeast"/>
              <w:ind w:left="107" w:right="93"/>
              <w:jc w:val="both"/>
              <w:rPr>
                <w:rFonts w:ascii="Open Sans" w:hAnsi="Open Sans" w:cs="Open Sans"/>
                <w:color w:val="003399"/>
              </w:rPr>
            </w:pPr>
          </w:p>
          <w:p w14:paraId="48896675" w14:textId="584E7537" w:rsidR="0025175B" w:rsidRPr="0025175B" w:rsidRDefault="0025175B" w:rsidP="00847EE0">
            <w:pPr>
              <w:pStyle w:val="TableParagraph"/>
              <w:spacing w:line="22" w:lineRule="atLeast"/>
              <w:ind w:left="107" w:right="93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25175B">
              <w:rPr>
                <w:rFonts w:ascii="Open Sans" w:hAnsi="Open Sans" w:cs="Open Sans"/>
                <w:b/>
                <w:bCs/>
                <w:color w:val="003399"/>
              </w:rPr>
              <w:t>Indicator de realizare (output)</w:t>
            </w:r>
          </w:p>
          <w:p w14:paraId="1418B6C4" w14:textId="54F3A7F4" w:rsidR="008974B3" w:rsidRPr="00847EE0" w:rsidRDefault="00C77DE3" w:rsidP="00847EE0">
            <w:pPr>
              <w:pStyle w:val="TableParagraph"/>
              <w:spacing w:line="22" w:lineRule="atLeast"/>
              <w:ind w:left="107" w:right="93"/>
              <w:jc w:val="both"/>
              <w:rPr>
                <w:rFonts w:ascii="Open Sans" w:hAnsi="Open Sans" w:cs="Open Sans"/>
              </w:rPr>
            </w:pPr>
            <w:r w:rsidRPr="00847EE0">
              <w:rPr>
                <w:rFonts w:ascii="Open Sans" w:hAnsi="Open Sans" w:cs="Open Sans"/>
                <w:color w:val="003399"/>
              </w:rPr>
              <w:t>Indicatorul de realizare (output)</w:t>
            </w:r>
            <w:r w:rsidR="0025175B">
              <w:rPr>
                <w:rFonts w:ascii="Open Sans" w:hAnsi="Open Sans" w:cs="Open Sans"/>
                <w:color w:val="003399"/>
              </w:rPr>
              <w:t xml:space="preserve"> </w:t>
            </w:r>
            <w:r w:rsidRPr="00847EE0">
              <w:rPr>
                <w:rFonts w:ascii="Open Sans" w:hAnsi="Open Sans" w:cs="Open Sans"/>
                <w:color w:val="003399"/>
              </w:rPr>
              <w:t>al programului este 5/b - „</w:t>
            </w:r>
            <w:r w:rsidRPr="00847EE0">
              <w:rPr>
                <w:rFonts w:ascii="Open Sans" w:hAnsi="Open Sans" w:cs="Open Sans"/>
                <w:i/>
                <w:color w:val="003399"/>
              </w:rPr>
              <w:t>Populația protejată de servicii îmbunătățite de intervenție în caz de urgență”</w:t>
            </w:r>
            <w:r w:rsidRPr="00847EE0">
              <w:rPr>
                <w:rFonts w:ascii="Open Sans" w:hAnsi="Open Sans" w:cs="Open Sans"/>
                <w:color w:val="003399"/>
              </w:rPr>
              <w:t>. Prin proiectul ROHU-28, 149.335 de persoane sunt mai bine protejate prin</w:t>
            </w:r>
            <w:r w:rsidRPr="00847EE0">
              <w:rPr>
                <w:rFonts w:ascii="Open Sans" w:hAnsi="Open Sans" w:cs="Open Sans"/>
              </w:rPr>
              <w:t xml:space="preserve"> </w:t>
            </w:r>
            <w:r w:rsidRPr="00847EE0">
              <w:rPr>
                <w:rFonts w:ascii="Open Sans" w:hAnsi="Open Sans" w:cs="Open Sans"/>
                <w:color w:val="003399"/>
              </w:rPr>
              <w:t>servicii îmbunătățite de intervenție de urgență.</w:t>
            </w:r>
          </w:p>
          <w:p w14:paraId="7D7E21DB" w14:textId="77777777" w:rsidR="00C77DE3" w:rsidRPr="00847EE0" w:rsidRDefault="00C77DE3" w:rsidP="00847EE0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color w:val="003399"/>
              </w:rPr>
            </w:pPr>
          </w:p>
          <w:p w14:paraId="132843B7" w14:textId="3492C436" w:rsidR="008974B3" w:rsidRPr="0025175B" w:rsidRDefault="00000000" w:rsidP="00847EE0">
            <w:pPr>
              <w:pStyle w:val="TableParagraph"/>
              <w:spacing w:line="22" w:lineRule="atLeast"/>
              <w:ind w:left="107"/>
              <w:rPr>
                <w:rFonts w:ascii="Open Sans" w:hAnsi="Open Sans" w:cs="Open Sans"/>
                <w:b/>
                <w:bCs/>
              </w:rPr>
            </w:pPr>
            <w:r w:rsidRPr="0025175B">
              <w:rPr>
                <w:rFonts w:ascii="Open Sans" w:hAnsi="Open Sans" w:cs="Open Sans"/>
                <w:b/>
                <w:bCs/>
                <w:color w:val="003399"/>
              </w:rPr>
              <w:t>Website/webpage:</w:t>
            </w:r>
          </w:p>
          <w:p w14:paraId="0ABA740A" w14:textId="77777777" w:rsidR="008974B3" w:rsidRPr="00847EE0" w:rsidRDefault="00000000" w:rsidP="0025175B">
            <w:pPr>
              <w:pStyle w:val="TableParagraph"/>
              <w:numPr>
                <w:ilvl w:val="0"/>
                <w:numId w:val="1"/>
              </w:numPr>
              <w:tabs>
                <w:tab w:val="left" w:pos="498"/>
              </w:tabs>
              <w:spacing w:line="22" w:lineRule="atLeast"/>
              <w:ind w:left="827" w:hanging="689"/>
              <w:rPr>
                <w:rFonts w:ascii="Open Sans" w:hAnsi="Open Sans" w:cs="Open Sans"/>
              </w:rPr>
            </w:pPr>
            <w:hyperlink r:id="rId9">
              <w:r w:rsidRPr="00847EE0">
                <w:rPr>
                  <w:rFonts w:ascii="Open Sans" w:hAnsi="Open Sans" w:cs="Open Sans"/>
                  <w:color w:val="0462C1"/>
                  <w:u w:val="single" w:color="0462C1"/>
                </w:rPr>
                <w:t>http://www.szanazug-tulca.ro/</w:t>
              </w:r>
            </w:hyperlink>
          </w:p>
          <w:p w14:paraId="2E024BB9" w14:textId="77777777" w:rsidR="008974B3" w:rsidRPr="00847EE0" w:rsidRDefault="00000000" w:rsidP="00847E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" w:lineRule="atLeast"/>
              <w:ind w:right="1176"/>
              <w:rPr>
                <w:rFonts w:ascii="Open Sans" w:hAnsi="Open Sans" w:cs="Open Sans"/>
              </w:rPr>
            </w:pPr>
            <w:hyperlink r:id="rId10">
              <w:r w:rsidRPr="00847EE0">
                <w:rPr>
                  <w:rFonts w:ascii="Open Sans" w:hAnsi="Open Sans" w:cs="Open Sans"/>
                  <w:color w:val="0462C1"/>
                  <w:u w:val="single" w:color="0462C1"/>
                </w:rPr>
                <w:t>http://www.kovizig.hu/06-projektek/02-europa-unios-</w:t>
              </w:r>
            </w:hyperlink>
            <w:r w:rsidRPr="00847EE0">
              <w:rPr>
                <w:rFonts w:ascii="Open Sans" w:hAnsi="Open Sans" w:cs="Open Sans"/>
                <w:color w:val="0462C1"/>
              </w:rPr>
              <w:t xml:space="preserve"> </w:t>
            </w:r>
            <w:hyperlink r:id="rId11">
              <w:r w:rsidRPr="00847EE0">
                <w:rPr>
                  <w:rFonts w:ascii="Open Sans" w:hAnsi="Open Sans" w:cs="Open Sans"/>
                  <w:color w:val="0462C1"/>
                  <w:u w:val="single" w:color="0462C1"/>
                </w:rPr>
                <w:t>projektek/17-szanazugi-arvizvedelmi-kozpont-</w:t>
              </w:r>
            </w:hyperlink>
            <w:r w:rsidRPr="00847EE0">
              <w:rPr>
                <w:rFonts w:ascii="Open Sans" w:hAnsi="Open Sans" w:cs="Open Sans"/>
                <w:color w:val="0462C1"/>
              </w:rPr>
              <w:t xml:space="preserve"> </w:t>
            </w:r>
            <w:hyperlink r:id="rId12">
              <w:r w:rsidRPr="00847EE0">
                <w:rPr>
                  <w:rFonts w:ascii="Open Sans" w:hAnsi="Open Sans" w:cs="Open Sans"/>
                  <w:color w:val="0462C1"/>
                  <w:u w:val="single" w:color="0462C1"/>
                </w:rPr>
                <w:t>fejlesztese/index.php</w:t>
              </w:r>
            </w:hyperlink>
          </w:p>
        </w:tc>
      </w:tr>
    </w:tbl>
    <w:p w14:paraId="400FBE7A" w14:textId="77777777" w:rsidR="00F419BD" w:rsidRDefault="00F419BD"/>
    <w:sectPr w:rsidR="00F419BD">
      <w:type w:val="continuous"/>
      <w:pgSz w:w="11910" w:h="16840"/>
      <w:pgMar w:top="2000" w:right="708" w:bottom="1220" w:left="1417" w:header="72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80BE" w14:textId="77777777" w:rsidR="00F419BD" w:rsidRDefault="00F419BD">
      <w:r>
        <w:separator/>
      </w:r>
    </w:p>
  </w:endnote>
  <w:endnote w:type="continuationSeparator" w:id="0">
    <w:p w14:paraId="399B5E57" w14:textId="77777777" w:rsidR="00F419BD" w:rsidRDefault="00F4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6B46" w14:textId="77777777" w:rsidR="008974B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7E253049" wp14:editId="73BA625E">
              <wp:simplePos x="0" y="0"/>
              <wp:positionH relativeFrom="page">
                <wp:posOffset>902004</wp:posOffset>
              </wp:positionH>
              <wp:positionV relativeFrom="page">
                <wp:posOffset>9897567</wp:posOffset>
              </wp:positionV>
              <wp:extent cx="227012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01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4D56F" w14:textId="77777777" w:rsidR="008974B3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5304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79.35pt;width:178.75pt;height:14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" filled="f" stroked="f">
              <v:textbox inset="0,0,0,0">
                <w:txbxContent>
                  <w:p w14:paraId="4FB4D56F" w14:textId="77777777" w:rsidR="008974B3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2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505CA81C" wp14:editId="0DAA0CAC">
              <wp:simplePos x="0" y="0"/>
              <wp:positionH relativeFrom="page">
                <wp:posOffset>5354192</wp:posOffset>
              </wp:positionH>
              <wp:positionV relativeFrom="page">
                <wp:posOffset>9906710</wp:posOffset>
              </wp:positionV>
              <wp:extent cx="130683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443C9" w14:textId="77777777" w:rsidR="008974B3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03399"/>
                                <w:spacing w:val="-2"/>
                              </w:rPr>
                              <w:t>www.interreg-rohu.eu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5CA81C" id="Textbox 3" o:spid="_x0000_s1027" type="#_x0000_t202" style="position:absolute;margin-left:421.6pt;margin-top:780.05pt;width:102.9pt;height:13.0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iylwEAACI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" filled="f" stroked="f">
              <v:textbox inset="0,0,0,0">
                <w:txbxContent>
                  <w:p w14:paraId="596443C9" w14:textId="77777777" w:rsidR="008974B3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03399"/>
                          <w:spacing w:val="-2"/>
                        </w:rPr>
                        <w:t>www.interreg-rohu.eu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3E8C" w14:textId="77777777" w:rsidR="00F419BD" w:rsidRDefault="00F419BD">
      <w:r>
        <w:separator/>
      </w:r>
    </w:p>
  </w:footnote>
  <w:footnote w:type="continuationSeparator" w:id="0">
    <w:p w14:paraId="594C506F" w14:textId="77777777" w:rsidR="00F419BD" w:rsidRDefault="00F4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9ECC" w14:textId="77777777" w:rsidR="008974B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9264" behindDoc="1" locked="0" layoutInCell="1" allowOverlap="1" wp14:anchorId="27F83664" wp14:editId="784B5C69">
          <wp:simplePos x="0" y="0"/>
          <wp:positionH relativeFrom="page">
            <wp:posOffset>914400</wp:posOffset>
          </wp:positionH>
          <wp:positionV relativeFrom="page">
            <wp:posOffset>457199</wp:posOffset>
          </wp:positionV>
          <wp:extent cx="5730875" cy="640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0875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0F96"/>
    <w:multiLevelType w:val="hybridMultilevel"/>
    <w:tmpl w:val="445023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E27A7"/>
    <w:multiLevelType w:val="hybridMultilevel"/>
    <w:tmpl w:val="FB78DF1A"/>
    <w:lvl w:ilvl="0" w:tplc="08090011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61D9093D"/>
    <w:multiLevelType w:val="hybridMultilevel"/>
    <w:tmpl w:val="36EC462A"/>
    <w:lvl w:ilvl="0" w:tplc="1820F5A2">
      <w:numFmt w:val="bullet"/>
      <w:lvlText w:val="-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96"/>
        <w:sz w:val="22"/>
        <w:szCs w:val="22"/>
        <w:lang w:val="ro-RO" w:eastAsia="en-US" w:bidi="ar-SA"/>
      </w:rPr>
    </w:lvl>
    <w:lvl w:ilvl="1" w:tplc="DF80D008">
      <w:numFmt w:val="bullet"/>
      <w:lvlText w:val="•"/>
      <w:lvlJc w:val="left"/>
      <w:pPr>
        <w:ind w:left="1484" w:hanging="360"/>
      </w:pPr>
      <w:rPr>
        <w:rFonts w:hint="default"/>
        <w:lang w:val="ro-RO" w:eastAsia="en-US" w:bidi="ar-SA"/>
      </w:rPr>
    </w:lvl>
    <w:lvl w:ilvl="2" w:tplc="6B08A1AA">
      <w:numFmt w:val="bullet"/>
      <w:lvlText w:val="•"/>
      <w:lvlJc w:val="left"/>
      <w:pPr>
        <w:ind w:left="2149" w:hanging="360"/>
      </w:pPr>
      <w:rPr>
        <w:rFonts w:hint="default"/>
        <w:lang w:val="ro-RO" w:eastAsia="en-US" w:bidi="ar-SA"/>
      </w:rPr>
    </w:lvl>
    <w:lvl w:ilvl="3" w:tplc="6220C368">
      <w:numFmt w:val="bullet"/>
      <w:lvlText w:val="•"/>
      <w:lvlJc w:val="left"/>
      <w:pPr>
        <w:ind w:left="2814" w:hanging="360"/>
      </w:pPr>
      <w:rPr>
        <w:rFonts w:hint="default"/>
        <w:lang w:val="ro-RO" w:eastAsia="en-US" w:bidi="ar-SA"/>
      </w:rPr>
    </w:lvl>
    <w:lvl w:ilvl="4" w:tplc="203E60E0">
      <w:numFmt w:val="bullet"/>
      <w:lvlText w:val="•"/>
      <w:lvlJc w:val="left"/>
      <w:pPr>
        <w:ind w:left="3478" w:hanging="360"/>
      </w:pPr>
      <w:rPr>
        <w:rFonts w:hint="default"/>
        <w:lang w:val="ro-RO" w:eastAsia="en-US" w:bidi="ar-SA"/>
      </w:rPr>
    </w:lvl>
    <w:lvl w:ilvl="5" w:tplc="0EC88450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54F80972">
      <w:numFmt w:val="bullet"/>
      <w:lvlText w:val="•"/>
      <w:lvlJc w:val="left"/>
      <w:pPr>
        <w:ind w:left="4808" w:hanging="360"/>
      </w:pPr>
      <w:rPr>
        <w:rFonts w:hint="default"/>
        <w:lang w:val="ro-RO" w:eastAsia="en-US" w:bidi="ar-SA"/>
      </w:rPr>
    </w:lvl>
    <w:lvl w:ilvl="7" w:tplc="A4CA6E4E">
      <w:numFmt w:val="bullet"/>
      <w:lvlText w:val="•"/>
      <w:lvlJc w:val="left"/>
      <w:pPr>
        <w:ind w:left="5472" w:hanging="360"/>
      </w:pPr>
      <w:rPr>
        <w:rFonts w:hint="default"/>
        <w:lang w:val="ro-RO" w:eastAsia="en-US" w:bidi="ar-SA"/>
      </w:rPr>
    </w:lvl>
    <w:lvl w:ilvl="8" w:tplc="3E04734A">
      <w:numFmt w:val="bullet"/>
      <w:lvlText w:val="•"/>
      <w:lvlJc w:val="left"/>
      <w:pPr>
        <w:ind w:left="6137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72D70372"/>
    <w:multiLevelType w:val="hybridMultilevel"/>
    <w:tmpl w:val="ADEEF3E2"/>
    <w:lvl w:ilvl="0" w:tplc="BBEAB352">
      <w:start w:val="1"/>
      <w:numFmt w:val="decimal"/>
      <w:lvlText w:val="%1."/>
      <w:lvlJc w:val="left"/>
      <w:pPr>
        <w:ind w:left="464" w:hanging="360"/>
        <w:jc w:val="left"/>
      </w:pPr>
      <w:rPr>
        <w:rFonts w:ascii="Open Sans" w:eastAsia="Courier New" w:hAnsi="Open Sans" w:cs="Open Sans" w:hint="default"/>
        <w:b w:val="0"/>
        <w:bCs w:val="0"/>
        <w:i w:val="0"/>
        <w:iCs w:val="0"/>
        <w:color w:val="003399"/>
        <w:spacing w:val="0"/>
        <w:w w:val="99"/>
        <w:sz w:val="22"/>
        <w:szCs w:val="22"/>
        <w:lang w:val="ro-RO" w:eastAsia="en-US" w:bidi="ar-SA"/>
      </w:rPr>
    </w:lvl>
    <w:lvl w:ilvl="1" w:tplc="8F0C4536">
      <w:numFmt w:val="bullet"/>
      <w:lvlText w:val="•"/>
      <w:lvlJc w:val="left"/>
      <w:pPr>
        <w:ind w:left="1120" w:hanging="360"/>
      </w:pPr>
      <w:rPr>
        <w:rFonts w:hint="default"/>
        <w:lang w:val="ro-RO" w:eastAsia="en-US" w:bidi="ar-SA"/>
      </w:rPr>
    </w:lvl>
    <w:lvl w:ilvl="2" w:tplc="7E285656">
      <w:numFmt w:val="bullet"/>
      <w:lvlText w:val="•"/>
      <w:lvlJc w:val="left"/>
      <w:pPr>
        <w:ind w:left="1785" w:hanging="360"/>
      </w:pPr>
      <w:rPr>
        <w:rFonts w:hint="default"/>
        <w:lang w:val="ro-RO" w:eastAsia="en-US" w:bidi="ar-SA"/>
      </w:rPr>
    </w:lvl>
    <w:lvl w:ilvl="3" w:tplc="A5925E10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4" w:tplc="08061A78">
      <w:numFmt w:val="bullet"/>
      <w:lvlText w:val="•"/>
      <w:lvlJc w:val="left"/>
      <w:pPr>
        <w:ind w:left="3114" w:hanging="360"/>
      </w:pPr>
      <w:rPr>
        <w:rFonts w:hint="default"/>
        <w:lang w:val="ro-RO" w:eastAsia="en-US" w:bidi="ar-SA"/>
      </w:rPr>
    </w:lvl>
    <w:lvl w:ilvl="5" w:tplc="C2E45478">
      <w:numFmt w:val="bullet"/>
      <w:lvlText w:val="•"/>
      <w:lvlJc w:val="left"/>
      <w:pPr>
        <w:ind w:left="3779" w:hanging="360"/>
      </w:pPr>
      <w:rPr>
        <w:rFonts w:hint="default"/>
        <w:lang w:val="ro-RO" w:eastAsia="en-US" w:bidi="ar-SA"/>
      </w:rPr>
    </w:lvl>
    <w:lvl w:ilvl="6" w:tplc="0A6C3906">
      <w:numFmt w:val="bullet"/>
      <w:lvlText w:val="•"/>
      <w:lvlJc w:val="left"/>
      <w:pPr>
        <w:ind w:left="4444" w:hanging="360"/>
      </w:pPr>
      <w:rPr>
        <w:rFonts w:hint="default"/>
        <w:lang w:val="ro-RO" w:eastAsia="en-US" w:bidi="ar-SA"/>
      </w:rPr>
    </w:lvl>
    <w:lvl w:ilvl="7" w:tplc="1A3A8A64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8" w:tplc="C8723EE4">
      <w:numFmt w:val="bullet"/>
      <w:lvlText w:val="•"/>
      <w:lvlJc w:val="left"/>
      <w:pPr>
        <w:ind w:left="5773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730D7FEC"/>
    <w:multiLevelType w:val="hybridMultilevel"/>
    <w:tmpl w:val="8F70681A"/>
    <w:lvl w:ilvl="0" w:tplc="04B6219A">
      <w:numFmt w:val="bullet"/>
      <w:lvlText w:val="•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6F766CB2">
      <w:numFmt w:val="bullet"/>
      <w:lvlText w:val="•"/>
      <w:lvlJc w:val="left"/>
      <w:pPr>
        <w:ind w:left="1484" w:hanging="360"/>
      </w:pPr>
      <w:rPr>
        <w:rFonts w:hint="default"/>
        <w:lang w:val="ro-RO" w:eastAsia="en-US" w:bidi="ar-SA"/>
      </w:rPr>
    </w:lvl>
    <w:lvl w:ilvl="2" w:tplc="4A52C2FA">
      <w:numFmt w:val="bullet"/>
      <w:lvlText w:val="•"/>
      <w:lvlJc w:val="left"/>
      <w:pPr>
        <w:ind w:left="2149" w:hanging="360"/>
      </w:pPr>
      <w:rPr>
        <w:rFonts w:hint="default"/>
        <w:lang w:val="ro-RO" w:eastAsia="en-US" w:bidi="ar-SA"/>
      </w:rPr>
    </w:lvl>
    <w:lvl w:ilvl="3" w:tplc="9A5E9A14">
      <w:numFmt w:val="bullet"/>
      <w:lvlText w:val="•"/>
      <w:lvlJc w:val="left"/>
      <w:pPr>
        <w:ind w:left="2814" w:hanging="360"/>
      </w:pPr>
      <w:rPr>
        <w:rFonts w:hint="default"/>
        <w:lang w:val="ro-RO" w:eastAsia="en-US" w:bidi="ar-SA"/>
      </w:rPr>
    </w:lvl>
    <w:lvl w:ilvl="4" w:tplc="62000F00">
      <w:numFmt w:val="bullet"/>
      <w:lvlText w:val="•"/>
      <w:lvlJc w:val="left"/>
      <w:pPr>
        <w:ind w:left="3478" w:hanging="360"/>
      </w:pPr>
      <w:rPr>
        <w:rFonts w:hint="default"/>
        <w:lang w:val="ro-RO" w:eastAsia="en-US" w:bidi="ar-SA"/>
      </w:rPr>
    </w:lvl>
    <w:lvl w:ilvl="5" w:tplc="D75C7744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D44C1582">
      <w:numFmt w:val="bullet"/>
      <w:lvlText w:val="•"/>
      <w:lvlJc w:val="left"/>
      <w:pPr>
        <w:ind w:left="4808" w:hanging="360"/>
      </w:pPr>
      <w:rPr>
        <w:rFonts w:hint="default"/>
        <w:lang w:val="ro-RO" w:eastAsia="en-US" w:bidi="ar-SA"/>
      </w:rPr>
    </w:lvl>
    <w:lvl w:ilvl="7" w:tplc="6A20C05A">
      <w:numFmt w:val="bullet"/>
      <w:lvlText w:val="•"/>
      <w:lvlJc w:val="left"/>
      <w:pPr>
        <w:ind w:left="5472" w:hanging="360"/>
      </w:pPr>
      <w:rPr>
        <w:rFonts w:hint="default"/>
        <w:lang w:val="ro-RO" w:eastAsia="en-US" w:bidi="ar-SA"/>
      </w:rPr>
    </w:lvl>
    <w:lvl w:ilvl="8" w:tplc="C8829976">
      <w:numFmt w:val="bullet"/>
      <w:lvlText w:val="•"/>
      <w:lvlJc w:val="left"/>
      <w:pPr>
        <w:ind w:left="6137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7B955E94"/>
    <w:multiLevelType w:val="hybridMultilevel"/>
    <w:tmpl w:val="209444F2"/>
    <w:lvl w:ilvl="0" w:tplc="8204477A">
      <w:numFmt w:val="bullet"/>
      <w:lvlText w:val="•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107"/>
        <w:sz w:val="22"/>
        <w:szCs w:val="22"/>
        <w:lang w:val="ro-RO" w:eastAsia="en-US" w:bidi="ar-SA"/>
      </w:rPr>
    </w:lvl>
    <w:lvl w:ilvl="1" w:tplc="9B5EE0B6">
      <w:numFmt w:val="bullet"/>
      <w:lvlText w:val="•"/>
      <w:lvlJc w:val="left"/>
      <w:pPr>
        <w:ind w:left="1484" w:hanging="360"/>
      </w:pPr>
      <w:rPr>
        <w:rFonts w:hint="default"/>
        <w:lang w:val="ro-RO" w:eastAsia="en-US" w:bidi="ar-SA"/>
      </w:rPr>
    </w:lvl>
    <w:lvl w:ilvl="2" w:tplc="55D6832E">
      <w:numFmt w:val="bullet"/>
      <w:lvlText w:val="•"/>
      <w:lvlJc w:val="left"/>
      <w:pPr>
        <w:ind w:left="2149" w:hanging="360"/>
      </w:pPr>
      <w:rPr>
        <w:rFonts w:hint="default"/>
        <w:lang w:val="ro-RO" w:eastAsia="en-US" w:bidi="ar-SA"/>
      </w:rPr>
    </w:lvl>
    <w:lvl w:ilvl="3" w:tplc="129E93F4">
      <w:numFmt w:val="bullet"/>
      <w:lvlText w:val="•"/>
      <w:lvlJc w:val="left"/>
      <w:pPr>
        <w:ind w:left="2814" w:hanging="360"/>
      </w:pPr>
      <w:rPr>
        <w:rFonts w:hint="default"/>
        <w:lang w:val="ro-RO" w:eastAsia="en-US" w:bidi="ar-SA"/>
      </w:rPr>
    </w:lvl>
    <w:lvl w:ilvl="4" w:tplc="929AC6BA">
      <w:numFmt w:val="bullet"/>
      <w:lvlText w:val="•"/>
      <w:lvlJc w:val="left"/>
      <w:pPr>
        <w:ind w:left="3478" w:hanging="360"/>
      </w:pPr>
      <w:rPr>
        <w:rFonts w:hint="default"/>
        <w:lang w:val="ro-RO" w:eastAsia="en-US" w:bidi="ar-SA"/>
      </w:rPr>
    </w:lvl>
    <w:lvl w:ilvl="5" w:tplc="7B3AF8FC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79E0FFF0">
      <w:numFmt w:val="bullet"/>
      <w:lvlText w:val="•"/>
      <w:lvlJc w:val="left"/>
      <w:pPr>
        <w:ind w:left="4808" w:hanging="360"/>
      </w:pPr>
      <w:rPr>
        <w:rFonts w:hint="default"/>
        <w:lang w:val="ro-RO" w:eastAsia="en-US" w:bidi="ar-SA"/>
      </w:rPr>
    </w:lvl>
    <w:lvl w:ilvl="7" w:tplc="2DACA590">
      <w:numFmt w:val="bullet"/>
      <w:lvlText w:val="•"/>
      <w:lvlJc w:val="left"/>
      <w:pPr>
        <w:ind w:left="5472" w:hanging="360"/>
      </w:pPr>
      <w:rPr>
        <w:rFonts w:hint="default"/>
        <w:lang w:val="ro-RO" w:eastAsia="en-US" w:bidi="ar-SA"/>
      </w:rPr>
    </w:lvl>
    <w:lvl w:ilvl="8" w:tplc="1120622C">
      <w:numFmt w:val="bullet"/>
      <w:lvlText w:val="•"/>
      <w:lvlJc w:val="left"/>
      <w:pPr>
        <w:ind w:left="6137" w:hanging="360"/>
      </w:pPr>
      <w:rPr>
        <w:rFonts w:hint="default"/>
        <w:lang w:val="ro-RO" w:eastAsia="en-US" w:bidi="ar-SA"/>
      </w:rPr>
    </w:lvl>
  </w:abstractNum>
  <w:num w:numId="1" w16cid:durableId="646588539">
    <w:abstractNumId w:val="3"/>
  </w:num>
  <w:num w:numId="2" w16cid:durableId="1533616321">
    <w:abstractNumId w:val="2"/>
  </w:num>
  <w:num w:numId="3" w16cid:durableId="1523013452">
    <w:abstractNumId w:val="5"/>
  </w:num>
  <w:num w:numId="4" w16cid:durableId="193230373">
    <w:abstractNumId w:val="4"/>
  </w:num>
  <w:num w:numId="5" w16cid:durableId="1832597708">
    <w:abstractNumId w:val="0"/>
  </w:num>
  <w:num w:numId="6" w16cid:durableId="832649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B3"/>
    <w:rsid w:val="0025175B"/>
    <w:rsid w:val="0062503C"/>
    <w:rsid w:val="00847EE0"/>
    <w:rsid w:val="008974B3"/>
    <w:rsid w:val="00C77DE3"/>
    <w:rsid w:val="00F4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08C30"/>
  <w15:docId w15:val="{11FFAB2E-334A-4914-B186-0B27A8F1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kovizig.hu/06-projektek/02-europa-unios-projektek/17-szanazugi-arvizvedelmi-kozpont-fejlesztese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vizig.hu/06-projektek/02-europa-unios-projektek/17-szanazugi-arvizvedelmi-kozpont-fejlesztese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ovizig.hu/06-projektek/02-europa-unios-projektek/17-szanazugi-arvizvedelmi-kozpont-fejlesztese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anazug-tulca.ro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ROHU</cp:lastModifiedBy>
  <cp:revision>2</cp:revision>
  <dcterms:created xsi:type="dcterms:W3CDTF">2026-03-18T08:27:00Z</dcterms:created>
  <dcterms:modified xsi:type="dcterms:W3CDTF">2026-03-18T08:27:00Z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116c1892-1e70-4679-a0ac-a4b99c9fa9d1</vt:lpwstr>
  </property>
</Properties>
</file>