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D36D" w14:textId="77777777" w:rsidR="00AB1F3A" w:rsidRPr="008A4F23" w:rsidRDefault="00AB1F3A" w:rsidP="00AD12D9">
      <w:pPr>
        <w:pStyle w:val="BodyText"/>
        <w:spacing w:before="131" w:line="276" w:lineRule="auto"/>
        <w:rPr>
          <w:rFonts w:ascii="Open Sans" w:hAnsi="Open Sans" w:cs="Open Sans"/>
          <w:color w:val="17365D" w:themeColor="text2" w:themeShade="BF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8A4F23" w:rsidRPr="008A4F23" w14:paraId="6FE27121" w14:textId="77777777">
        <w:trPr>
          <w:trHeight w:val="462"/>
        </w:trPr>
        <w:tc>
          <w:tcPr>
            <w:tcW w:w="9740" w:type="dxa"/>
            <w:gridSpan w:val="2"/>
            <w:shd w:val="clear" w:color="auto" w:fill="1F4E79"/>
          </w:tcPr>
          <w:p w14:paraId="2415B58C" w14:textId="77777777" w:rsidR="00AB1F3A" w:rsidRPr="008A4F23" w:rsidRDefault="00000000" w:rsidP="00AD12D9">
            <w:pPr>
              <w:pStyle w:val="TableParagraph"/>
              <w:spacing w:line="276" w:lineRule="auto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  <w:w w:val="90"/>
              </w:rPr>
              <w:t>2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90"/>
                <w:vertAlign w:val="superscript"/>
              </w:rPr>
              <w:t>nd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4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90"/>
              </w:rPr>
              <w:t>Open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6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90"/>
              </w:rPr>
              <w:t>Call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4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90"/>
              </w:rPr>
              <w:t>–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7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90"/>
              </w:rPr>
              <w:t>Normal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4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2"/>
                <w:w w:val="90"/>
              </w:rPr>
              <w:t>Projects</w:t>
            </w:r>
          </w:p>
        </w:tc>
      </w:tr>
      <w:tr w:rsidR="008A4F23" w:rsidRPr="008A4F23" w14:paraId="07A3DCE4" w14:textId="77777777">
        <w:trPr>
          <w:trHeight w:val="465"/>
        </w:trPr>
        <w:tc>
          <w:tcPr>
            <w:tcW w:w="2263" w:type="dxa"/>
          </w:tcPr>
          <w:p w14:paraId="5D1B04CF" w14:textId="77777777" w:rsidR="00AB1F3A" w:rsidRPr="008A4F23" w:rsidRDefault="00000000" w:rsidP="00AD12D9">
            <w:pPr>
              <w:pStyle w:val="TableParagraph"/>
              <w:spacing w:line="276" w:lineRule="auto"/>
              <w:ind w:left="14"/>
              <w:jc w:val="center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2"/>
                <w:w w:val="90"/>
              </w:rPr>
              <w:t>Project</w:t>
            </w: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5"/>
              </w:rPr>
              <w:t xml:space="preserve"> </w:t>
            </w: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4"/>
              </w:rPr>
              <w:t>code</w:t>
            </w:r>
          </w:p>
        </w:tc>
        <w:tc>
          <w:tcPr>
            <w:tcW w:w="7477" w:type="dxa"/>
          </w:tcPr>
          <w:p w14:paraId="709462EC" w14:textId="77777777" w:rsidR="00AB1F3A" w:rsidRPr="00616EEC" w:rsidRDefault="00000000" w:rsidP="00AD12D9">
            <w:pPr>
              <w:pStyle w:val="TableParagraph"/>
              <w:spacing w:line="276" w:lineRule="auto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616EEC">
              <w:rPr>
                <w:rFonts w:ascii="Open Sans" w:hAnsi="Open Sans" w:cs="Open Sans"/>
                <w:b/>
                <w:bCs/>
                <w:color w:val="17365D" w:themeColor="text2" w:themeShade="BF"/>
                <w:w w:val="110"/>
              </w:rPr>
              <w:t>ROHU-281</w:t>
            </w:r>
          </w:p>
        </w:tc>
      </w:tr>
      <w:tr w:rsidR="008A4F23" w:rsidRPr="008A4F23" w14:paraId="79BC35D5" w14:textId="77777777">
        <w:trPr>
          <w:trHeight w:val="1034"/>
        </w:trPr>
        <w:tc>
          <w:tcPr>
            <w:tcW w:w="2263" w:type="dxa"/>
          </w:tcPr>
          <w:p w14:paraId="345DD2B2" w14:textId="77777777" w:rsidR="00AB1F3A" w:rsidRPr="008A4F23" w:rsidRDefault="00000000" w:rsidP="00AD12D9">
            <w:pPr>
              <w:pStyle w:val="TableParagraph"/>
              <w:spacing w:line="276" w:lineRule="auto"/>
              <w:ind w:left="14" w:right="3"/>
              <w:jc w:val="center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2"/>
                <w:w w:val="90"/>
              </w:rPr>
              <w:t>Project</w:t>
            </w: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5"/>
              </w:rPr>
              <w:t xml:space="preserve"> </w:t>
            </w: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2"/>
              </w:rPr>
              <w:t>title</w:t>
            </w:r>
          </w:p>
        </w:tc>
        <w:tc>
          <w:tcPr>
            <w:tcW w:w="7477" w:type="dxa"/>
          </w:tcPr>
          <w:p w14:paraId="66D44DDE" w14:textId="77777777" w:rsidR="00AB1F3A" w:rsidRPr="008A4F23" w:rsidRDefault="00000000" w:rsidP="00AD12D9">
            <w:pPr>
              <w:pStyle w:val="TableParagraph"/>
              <w:spacing w:before="2" w:line="276" w:lineRule="auto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  <w:w w:val="110"/>
              </w:rPr>
              <w:t>„Heritage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8"/>
                <w:w w:val="11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10"/>
              </w:rPr>
              <w:t>of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9"/>
                <w:w w:val="11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10"/>
              </w:rPr>
              <w:t>Csanád,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6"/>
                <w:w w:val="11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10"/>
              </w:rPr>
              <w:t>bridge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6"/>
                <w:w w:val="11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10"/>
              </w:rPr>
              <w:t>of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9"/>
                <w:w w:val="11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10"/>
              </w:rPr>
              <w:t>schools”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7"/>
                <w:w w:val="11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10"/>
              </w:rPr>
              <w:t>-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6"/>
                <w:w w:val="11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10"/>
              </w:rPr>
              <w:t>cross-border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6"/>
                <w:w w:val="11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10"/>
              </w:rPr>
              <w:t>cooperation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8"/>
                <w:w w:val="11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10"/>
              </w:rPr>
              <w:t>of Catholic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"/>
                <w:w w:val="11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10"/>
              </w:rPr>
              <w:t>schools</w:t>
            </w:r>
          </w:p>
        </w:tc>
      </w:tr>
      <w:tr w:rsidR="008A4F23" w:rsidRPr="008A4F23" w14:paraId="18F81B09" w14:textId="77777777">
        <w:trPr>
          <w:trHeight w:val="808"/>
        </w:trPr>
        <w:tc>
          <w:tcPr>
            <w:tcW w:w="2263" w:type="dxa"/>
          </w:tcPr>
          <w:p w14:paraId="446A13B5" w14:textId="77777777" w:rsidR="00AB1F3A" w:rsidRPr="008A4F23" w:rsidRDefault="00000000" w:rsidP="00AD12D9">
            <w:pPr>
              <w:pStyle w:val="TableParagraph"/>
              <w:spacing w:line="276" w:lineRule="auto"/>
              <w:ind w:left="14" w:right="2"/>
              <w:jc w:val="center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w w:val="90"/>
              </w:rPr>
              <w:t>Priority</w:t>
            </w: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14"/>
              </w:rPr>
              <w:t xml:space="preserve"> </w:t>
            </w: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4"/>
                <w:w w:val="95"/>
              </w:rPr>
              <w:t>axis</w:t>
            </w:r>
          </w:p>
        </w:tc>
        <w:tc>
          <w:tcPr>
            <w:tcW w:w="7477" w:type="dxa"/>
          </w:tcPr>
          <w:p w14:paraId="3482CCD0" w14:textId="33AF8A66" w:rsidR="00AB1F3A" w:rsidRPr="008A4F23" w:rsidRDefault="00000000" w:rsidP="00AD12D9">
            <w:pPr>
              <w:pStyle w:val="TableParagraph"/>
              <w:spacing w:before="12" w:line="276" w:lineRule="auto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6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8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–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8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Promoting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8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cross-border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8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cooperation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8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between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8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institutions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8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 xml:space="preserve">and </w:t>
            </w:r>
            <w:r w:rsidR="008A4F23"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citizens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 xml:space="preserve"> (Cooperation of institutions and communities)</w:t>
            </w:r>
          </w:p>
        </w:tc>
      </w:tr>
      <w:tr w:rsidR="008A4F23" w:rsidRPr="008A4F23" w14:paraId="70ACB960" w14:textId="77777777">
        <w:trPr>
          <w:trHeight w:val="809"/>
        </w:trPr>
        <w:tc>
          <w:tcPr>
            <w:tcW w:w="2263" w:type="dxa"/>
          </w:tcPr>
          <w:p w14:paraId="0131E916" w14:textId="77777777" w:rsidR="00AB1F3A" w:rsidRPr="008A4F23" w:rsidRDefault="00000000" w:rsidP="00AD12D9">
            <w:pPr>
              <w:pStyle w:val="TableParagraph"/>
              <w:spacing w:line="276" w:lineRule="auto"/>
              <w:ind w:left="715" w:hanging="216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2"/>
                <w:w w:val="90"/>
              </w:rPr>
              <w:t xml:space="preserve">Investment </w:t>
            </w: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2"/>
              </w:rPr>
              <w:t>priority</w:t>
            </w:r>
          </w:p>
        </w:tc>
        <w:tc>
          <w:tcPr>
            <w:tcW w:w="7477" w:type="dxa"/>
          </w:tcPr>
          <w:p w14:paraId="72C7A909" w14:textId="77777777" w:rsidR="00AB1F3A" w:rsidRPr="008A4F23" w:rsidRDefault="00000000" w:rsidP="00AD12D9">
            <w:pPr>
              <w:pStyle w:val="TableParagraph"/>
              <w:spacing w:before="12" w:line="276" w:lineRule="auto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11/b,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4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Promoting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4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legal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4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and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4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administrative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4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cooperation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4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and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4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cooperation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10"/>
              </w:rPr>
              <w:t>between citizens and institutions</w:t>
            </w:r>
          </w:p>
        </w:tc>
      </w:tr>
      <w:tr w:rsidR="008A4F23" w:rsidRPr="008A4F23" w14:paraId="0C762B1A" w14:textId="77777777">
        <w:trPr>
          <w:trHeight w:val="810"/>
        </w:trPr>
        <w:tc>
          <w:tcPr>
            <w:tcW w:w="2263" w:type="dxa"/>
          </w:tcPr>
          <w:p w14:paraId="2D508E0A" w14:textId="77777777" w:rsidR="00AB1F3A" w:rsidRPr="008A4F23" w:rsidRDefault="00000000" w:rsidP="00AD12D9">
            <w:pPr>
              <w:pStyle w:val="TableParagraph"/>
              <w:spacing w:line="276" w:lineRule="auto"/>
              <w:ind w:left="775" w:right="224" w:hanging="538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10"/>
              </w:rPr>
              <w:t xml:space="preserve">Implementation </w:t>
            </w: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2"/>
              </w:rPr>
              <w:t>period</w:t>
            </w:r>
          </w:p>
        </w:tc>
        <w:tc>
          <w:tcPr>
            <w:tcW w:w="7477" w:type="dxa"/>
          </w:tcPr>
          <w:p w14:paraId="0665DA59" w14:textId="77777777" w:rsidR="00AB1F3A" w:rsidRPr="008A4F23" w:rsidRDefault="00000000" w:rsidP="00AD12D9">
            <w:pPr>
              <w:pStyle w:val="TableParagraph"/>
              <w:spacing w:before="185" w:line="276" w:lineRule="auto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24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7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months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7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(1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  <w:vertAlign w:val="superscript"/>
              </w:rPr>
              <w:t>st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7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of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8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January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8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2020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6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–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6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31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  <w:vertAlign w:val="superscript"/>
              </w:rPr>
              <w:t>st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8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of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8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December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7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2"/>
                <w:w w:val="105"/>
              </w:rPr>
              <w:t>2021)</w:t>
            </w:r>
          </w:p>
        </w:tc>
      </w:tr>
      <w:tr w:rsidR="008A4F23" w:rsidRPr="008A4F23" w14:paraId="622FD068" w14:textId="77777777">
        <w:trPr>
          <w:trHeight w:val="1153"/>
        </w:trPr>
        <w:tc>
          <w:tcPr>
            <w:tcW w:w="2263" w:type="dxa"/>
          </w:tcPr>
          <w:p w14:paraId="2C6042B6" w14:textId="77777777" w:rsidR="00AB1F3A" w:rsidRPr="008A4F23" w:rsidRDefault="00AB1F3A" w:rsidP="00AD12D9">
            <w:pPr>
              <w:pStyle w:val="TableParagraph"/>
              <w:spacing w:before="80" w:line="276" w:lineRule="auto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03EC17CA" w14:textId="77777777" w:rsidR="00AB1F3A" w:rsidRPr="008A4F23" w:rsidRDefault="00000000" w:rsidP="00AD12D9">
            <w:pPr>
              <w:pStyle w:val="TableParagraph"/>
              <w:spacing w:line="276" w:lineRule="auto"/>
              <w:ind w:left="14" w:right="5"/>
              <w:jc w:val="center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2"/>
              </w:rPr>
              <w:t>Objective</w:t>
            </w:r>
          </w:p>
        </w:tc>
        <w:tc>
          <w:tcPr>
            <w:tcW w:w="7477" w:type="dxa"/>
          </w:tcPr>
          <w:p w14:paraId="1359416E" w14:textId="77777777" w:rsidR="00AB1F3A" w:rsidRPr="008A4F23" w:rsidRDefault="00000000" w:rsidP="00AD12D9">
            <w:pPr>
              <w:pStyle w:val="TableParagraph"/>
              <w:spacing w:before="12" w:line="276" w:lineRule="auto"/>
              <w:ind w:right="97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The main objective of the project was the promotion of the values of the neighbouring Békés-Banat regions as ethnographic, cultural and geographical landscapes to the local population.</w:t>
            </w:r>
          </w:p>
        </w:tc>
      </w:tr>
      <w:tr w:rsidR="008A4F23" w:rsidRPr="008A4F23" w14:paraId="5A314F84" w14:textId="77777777">
        <w:trPr>
          <w:trHeight w:val="1271"/>
        </w:trPr>
        <w:tc>
          <w:tcPr>
            <w:tcW w:w="2263" w:type="dxa"/>
            <w:vMerge w:val="restart"/>
          </w:tcPr>
          <w:p w14:paraId="5F5B0F81" w14:textId="77777777" w:rsidR="00AB1F3A" w:rsidRPr="008A4F23" w:rsidRDefault="00AB1F3A" w:rsidP="00AD12D9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436EAD04" w14:textId="77777777" w:rsidR="00AB1F3A" w:rsidRPr="008A4F23" w:rsidRDefault="00AB1F3A" w:rsidP="00AD12D9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07F0548A" w14:textId="77777777" w:rsidR="00AB1F3A" w:rsidRPr="008A4F23" w:rsidRDefault="00AB1F3A" w:rsidP="00AD12D9">
            <w:pPr>
              <w:pStyle w:val="TableParagraph"/>
              <w:spacing w:before="119" w:line="276" w:lineRule="auto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29E7DCB2" w14:textId="77777777" w:rsidR="00AB1F3A" w:rsidRPr="008A4F23" w:rsidRDefault="00000000" w:rsidP="00AD12D9">
            <w:pPr>
              <w:pStyle w:val="TableParagraph"/>
              <w:spacing w:line="276" w:lineRule="auto"/>
              <w:ind w:left="48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2"/>
              </w:rPr>
              <w:t>Partnership</w:t>
            </w:r>
          </w:p>
        </w:tc>
        <w:tc>
          <w:tcPr>
            <w:tcW w:w="7477" w:type="dxa"/>
          </w:tcPr>
          <w:p w14:paraId="3F0A52BC" w14:textId="77777777" w:rsidR="00AB1F3A" w:rsidRPr="008A4F23" w:rsidRDefault="00000000" w:rsidP="00AD12D9">
            <w:pPr>
              <w:pStyle w:val="TableParagraph"/>
              <w:spacing w:line="276" w:lineRule="auto"/>
              <w:rPr>
                <w:rFonts w:ascii="Open Sans" w:hAnsi="Open Sans" w:cs="Open Sans"/>
                <w:color w:val="17365D" w:themeColor="text2" w:themeShade="BF"/>
                <w:w w:val="105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Lead Beneficiary:</w:t>
            </w:r>
          </w:p>
          <w:p w14:paraId="0A14C75F" w14:textId="77777777" w:rsidR="00AB1F3A" w:rsidRPr="008A4F23" w:rsidRDefault="00000000" w:rsidP="00AD12D9">
            <w:pPr>
              <w:pStyle w:val="TableParagraph"/>
              <w:spacing w:before="175" w:line="276" w:lineRule="auto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Savio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4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Saint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4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Dominic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4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Catholic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4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Elementary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39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School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39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and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39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Nursery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39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 xml:space="preserve">School 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2"/>
                <w:w w:val="105"/>
              </w:rPr>
              <w:t>(Hungary)</w:t>
            </w:r>
          </w:p>
        </w:tc>
      </w:tr>
      <w:tr w:rsidR="008A4F23" w:rsidRPr="008A4F23" w14:paraId="3F87C581" w14:textId="77777777">
        <w:trPr>
          <w:trHeight w:val="931"/>
        </w:trPr>
        <w:tc>
          <w:tcPr>
            <w:tcW w:w="2263" w:type="dxa"/>
            <w:vMerge/>
            <w:tcBorders>
              <w:top w:val="nil"/>
            </w:tcBorders>
          </w:tcPr>
          <w:p w14:paraId="30C46A26" w14:textId="77777777" w:rsidR="00AB1F3A" w:rsidRPr="008A4F23" w:rsidRDefault="00AB1F3A" w:rsidP="00AD12D9">
            <w:pPr>
              <w:spacing w:line="276" w:lineRule="auto"/>
              <w:rPr>
                <w:rFonts w:ascii="Open Sans" w:hAnsi="Open Sans" w:cs="Open Sans"/>
                <w:b/>
                <w:bCs/>
                <w:color w:val="17365D" w:themeColor="text2" w:themeShade="BF"/>
                <w:sz w:val="2"/>
                <w:szCs w:val="2"/>
              </w:rPr>
            </w:pPr>
          </w:p>
        </w:tc>
        <w:tc>
          <w:tcPr>
            <w:tcW w:w="7477" w:type="dxa"/>
          </w:tcPr>
          <w:p w14:paraId="7A28FC8F" w14:textId="77777777" w:rsidR="00AB1F3A" w:rsidRPr="008A4F23" w:rsidRDefault="00000000" w:rsidP="00AD12D9">
            <w:pPr>
              <w:pStyle w:val="TableParagraph"/>
              <w:spacing w:line="276" w:lineRule="auto"/>
              <w:rPr>
                <w:rFonts w:ascii="Open Sans" w:hAnsi="Open Sans" w:cs="Open Sans"/>
                <w:color w:val="17365D" w:themeColor="text2" w:themeShade="BF"/>
                <w:w w:val="105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Project Partner:</w:t>
            </w:r>
          </w:p>
          <w:p w14:paraId="116DE21A" w14:textId="77777777" w:rsidR="00AB1F3A" w:rsidRPr="008A4F23" w:rsidRDefault="00000000" w:rsidP="00AD12D9">
            <w:pPr>
              <w:pStyle w:val="TableParagraph"/>
              <w:spacing w:before="175" w:line="276" w:lineRule="auto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PP2: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23"/>
                <w:w w:val="105"/>
              </w:rPr>
              <w:t xml:space="preserve">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Jimbolia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  <w:spacing w:val="-18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Secondary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8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School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8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2"/>
                <w:w w:val="105"/>
              </w:rPr>
              <w:t>(Romania)</w:t>
            </w:r>
          </w:p>
        </w:tc>
      </w:tr>
      <w:tr w:rsidR="008A4F23" w:rsidRPr="008A4F23" w14:paraId="697DF36F" w14:textId="77777777">
        <w:trPr>
          <w:trHeight w:val="1547"/>
        </w:trPr>
        <w:tc>
          <w:tcPr>
            <w:tcW w:w="2263" w:type="dxa"/>
          </w:tcPr>
          <w:p w14:paraId="56B0B955" w14:textId="77777777" w:rsidR="00AB1F3A" w:rsidRPr="008A4F23" w:rsidRDefault="00000000" w:rsidP="00AD12D9">
            <w:pPr>
              <w:pStyle w:val="TableParagraph"/>
              <w:spacing w:line="276" w:lineRule="auto"/>
              <w:ind w:left="14" w:right="6"/>
              <w:jc w:val="center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w w:val="85"/>
              </w:rPr>
              <w:t>TOTAL</w:t>
            </w: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3"/>
                <w:w w:val="85"/>
              </w:rPr>
              <w:t xml:space="preserve"> </w:t>
            </w: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2"/>
                <w:w w:val="95"/>
              </w:rPr>
              <w:t>Budget</w:t>
            </w:r>
          </w:p>
        </w:tc>
        <w:tc>
          <w:tcPr>
            <w:tcW w:w="7477" w:type="dxa"/>
          </w:tcPr>
          <w:p w14:paraId="54C2D90E" w14:textId="77777777" w:rsidR="00AB1F3A" w:rsidRPr="008A4F23" w:rsidRDefault="00000000" w:rsidP="00AD12D9">
            <w:pPr>
              <w:pStyle w:val="TableParagraph"/>
              <w:spacing w:before="12" w:line="276" w:lineRule="auto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€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1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210,350.00,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1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out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1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of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2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which,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3"/>
              </w:rPr>
              <w:t xml:space="preserve"> </w:t>
            </w: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ERDF</w:t>
            </w: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1"/>
              </w:rPr>
              <w:t xml:space="preserve"> </w:t>
            </w: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€</w:t>
            </w: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1"/>
              </w:rPr>
              <w:t xml:space="preserve"> </w:t>
            </w: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2"/>
              </w:rPr>
              <w:t>178,797.50</w:t>
            </w:r>
          </w:p>
          <w:p w14:paraId="520DCC7F" w14:textId="77777777" w:rsidR="00AB1F3A" w:rsidRPr="008A4F23" w:rsidRDefault="00AB1F3A" w:rsidP="00AD12D9">
            <w:pPr>
              <w:pStyle w:val="TableParagraph"/>
              <w:spacing w:before="29" w:line="276" w:lineRule="auto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766AF8E1" w14:textId="77777777" w:rsidR="00AB1F3A" w:rsidRPr="008A4F23" w:rsidRDefault="00000000" w:rsidP="00AD12D9">
            <w:pPr>
              <w:pStyle w:val="TableParagraph"/>
              <w:spacing w:line="276" w:lineRule="auto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Total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9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eligible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8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expenditure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9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certified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8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within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the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7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project: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€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6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2"/>
                <w:w w:val="105"/>
              </w:rPr>
              <w:t>190,153.70</w:t>
            </w:r>
          </w:p>
          <w:p w14:paraId="00DABA4A" w14:textId="77777777" w:rsidR="00AB1F3A" w:rsidRPr="008A4F23" w:rsidRDefault="00AB1F3A" w:rsidP="00AD12D9">
            <w:pPr>
              <w:pStyle w:val="TableParagraph"/>
              <w:spacing w:before="11" w:line="276" w:lineRule="auto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622967BF" w14:textId="77777777" w:rsidR="00AB1F3A" w:rsidRPr="008A4F23" w:rsidRDefault="00000000" w:rsidP="00AD12D9">
            <w:pPr>
              <w:pStyle w:val="TableParagraph"/>
              <w:spacing w:line="276" w:lineRule="auto"/>
              <w:rPr>
                <w:rFonts w:ascii="Open Sans" w:hAnsi="Open Sans" w:cs="Open Sans"/>
                <w:b/>
                <w:i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4"/>
              </w:rPr>
              <w:t>Budget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3"/>
              </w:rPr>
              <w:t xml:space="preserve"> 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4"/>
              </w:rPr>
              <w:t>execution: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6"/>
              </w:rPr>
              <w:t xml:space="preserve"> 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4"/>
              </w:rPr>
              <w:t>90.39%</w:t>
            </w:r>
          </w:p>
        </w:tc>
      </w:tr>
      <w:tr w:rsidR="008A4F23" w:rsidRPr="008A4F23" w14:paraId="7BBA3D32" w14:textId="77777777">
        <w:trPr>
          <w:trHeight w:val="3100"/>
        </w:trPr>
        <w:tc>
          <w:tcPr>
            <w:tcW w:w="2263" w:type="dxa"/>
          </w:tcPr>
          <w:p w14:paraId="1FF0E7F5" w14:textId="77777777" w:rsidR="00AB1F3A" w:rsidRPr="008A4F23" w:rsidRDefault="00AB1F3A" w:rsidP="00AD12D9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77FF546D" w14:textId="77777777" w:rsidR="00AB1F3A" w:rsidRPr="008A4F23" w:rsidRDefault="00AB1F3A" w:rsidP="00AD12D9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1956E32B" w14:textId="77777777" w:rsidR="00AB1F3A" w:rsidRPr="008A4F23" w:rsidRDefault="00AB1F3A" w:rsidP="00AD12D9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3555AEFB" w14:textId="77777777" w:rsidR="00AB1F3A" w:rsidRPr="008A4F23" w:rsidRDefault="00AB1F3A" w:rsidP="00AD12D9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33269C2A" w14:textId="77777777" w:rsidR="00AB1F3A" w:rsidRPr="008A4F23" w:rsidRDefault="00AB1F3A" w:rsidP="00AD12D9">
            <w:pPr>
              <w:pStyle w:val="TableParagraph"/>
              <w:spacing w:before="19" w:line="276" w:lineRule="auto"/>
              <w:ind w:left="0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</w:p>
          <w:p w14:paraId="6B41CDF3" w14:textId="77777777" w:rsidR="00AB1F3A" w:rsidRPr="008A4F23" w:rsidRDefault="00000000" w:rsidP="00AD12D9">
            <w:pPr>
              <w:pStyle w:val="TableParagraph"/>
              <w:spacing w:line="276" w:lineRule="auto"/>
              <w:ind w:left="14" w:right="4"/>
              <w:jc w:val="center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2"/>
              </w:rPr>
              <w:t>Summary</w:t>
            </w:r>
          </w:p>
        </w:tc>
        <w:tc>
          <w:tcPr>
            <w:tcW w:w="7477" w:type="dxa"/>
          </w:tcPr>
          <w:p w14:paraId="5686C32F" w14:textId="77777777" w:rsidR="00AB1F3A" w:rsidRPr="008A4F23" w:rsidRDefault="00000000" w:rsidP="00AD12D9">
            <w:pPr>
              <w:pStyle w:val="TableParagraph"/>
              <w:spacing w:before="12" w:line="276" w:lineRule="auto"/>
              <w:ind w:right="92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 xml:space="preserve">Through the ROHU-281 project, the partners aimed to create spaces attached to schools, where the traditions of the cross-border area can be studied, both by children and adults, </w:t>
            </w:r>
            <w:proofErr w:type="gramStart"/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and in</w:t>
            </w:r>
            <w:proofErr w:type="gramEnd"/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 xml:space="preserve"> where joint events can be organized.</w:t>
            </w:r>
          </w:p>
          <w:p w14:paraId="0AFACF19" w14:textId="77777777" w:rsidR="00AB1F3A" w:rsidRPr="008A4F23" w:rsidRDefault="00AB1F3A" w:rsidP="00AD12D9">
            <w:pPr>
              <w:pStyle w:val="TableParagraph"/>
              <w:spacing w:before="90" w:line="276" w:lineRule="auto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52E7B092" w14:textId="77777777" w:rsidR="00AB1F3A" w:rsidRPr="008A4F23" w:rsidRDefault="00000000" w:rsidP="00AD12D9">
            <w:pPr>
              <w:pStyle w:val="TableParagraph"/>
              <w:spacing w:line="276" w:lineRule="auto"/>
              <w:jc w:val="both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The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main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5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activities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2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implemented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7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within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6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the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2"/>
                <w:w w:val="105"/>
              </w:rPr>
              <w:t xml:space="preserve"> project:</w:t>
            </w:r>
          </w:p>
          <w:p w14:paraId="6B781F32" w14:textId="77777777" w:rsidR="00AD12D9" w:rsidRDefault="00000000" w:rsidP="00AD12D9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  <w:tab w:val="left" w:pos="290"/>
              </w:tabs>
              <w:spacing w:before="56" w:line="276" w:lineRule="auto"/>
              <w:ind w:right="96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creation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8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of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7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2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8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community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9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spaces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8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with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8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stages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9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for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7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performances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7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and </w:t>
            </w:r>
            <w:proofErr w:type="gramStart"/>
            <w:r w:rsidRPr="008A4F23">
              <w:rPr>
                <w:rFonts w:ascii="Open Sans" w:hAnsi="Open Sans" w:cs="Open Sans"/>
                <w:color w:val="17365D" w:themeColor="text2" w:themeShade="BF"/>
                <w:spacing w:val="-2"/>
              </w:rPr>
              <w:t>concerts;</w:t>
            </w:r>
            <w:proofErr w:type="gramEnd"/>
          </w:p>
          <w:p w14:paraId="44F91247" w14:textId="2943D536" w:rsidR="00AD12D9" w:rsidRPr="00AD12D9" w:rsidRDefault="00000000" w:rsidP="00AD12D9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  <w:tab w:val="left" w:pos="290"/>
              </w:tabs>
              <w:spacing w:before="56" w:line="276" w:lineRule="auto"/>
              <w:ind w:right="96"/>
              <w:rPr>
                <w:rFonts w:ascii="Open Sans" w:hAnsi="Open Sans" w:cs="Open Sans"/>
                <w:color w:val="17365D" w:themeColor="text2" w:themeShade="BF"/>
              </w:rPr>
            </w:pPr>
            <w:r w:rsidRPr="00AD12D9">
              <w:rPr>
                <w:rFonts w:ascii="Open Sans" w:hAnsi="Open Sans" w:cs="Open Sans"/>
                <w:color w:val="17365D" w:themeColor="text2" w:themeShade="BF"/>
              </w:rPr>
              <w:t>organization</w:t>
            </w:r>
            <w:r w:rsidRPr="00AD12D9">
              <w:rPr>
                <w:rFonts w:ascii="Open Sans" w:hAnsi="Open Sans" w:cs="Open Sans"/>
                <w:color w:val="17365D" w:themeColor="text2" w:themeShade="BF"/>
                <w:spacing w:val="50"/>
              </w:rPr>
              <w:t xml:space="preserve"> </w:t>
            </w:r>
            <w:r w:rsidRPr="00AD12D9">
              <w:rPr>
                <w:rFonts w:ascii="Open Sans" w:hAnsi="Open Sans" w:cs="Open Sans"/>
                <w:color w:val="17365D" w:themeColor="text2" w:themeShade="BF"/>
              </w:rPr>
              <w:t>of</w:t>
            </w:r>
            <w:r w:rsidRPr="00AD12D9">
              <w:rPr>
                <w:rFonts w:ascii="Open Sans" w:hAnsi="Open Sans" w:cs="Open Sans"/>
                <w:color w:val="17365D" w:themeColor="text2" w:themeShade="BF"/>
                <w:spacing w:val="50"/>
              </w:rPr>
              <w:t xml:space="preserve"> </w:t>
            </w:r>
            <w:r w:rsidRPr="00AD12D9">
              <w:rPr>
                <w:rFonts w:ascii="Open Sans" w:hAnsi="Open Sans" w:cs="Open Sans"/>
                <w:color w:val="17365D" w:themeColor="text2" w:themeShade="BF"/>
              </w:rPr>
              <w:t>arts-and-crafts</w:t>
            </w:r>
            <w:r w:rsidRPr="00AD12D9">
              <w:rPr>
                <w:rFonts w:ascii="Open Sans" w:hAnsi="Open Sans" w:cs="Open Sans"/>
                <w:color w:val="17365D" w:themeColor="text2" w:themeShade="BF"/>
                <w:spacing w:val="46"/>
              </w:rPr>
              <w:t xml:space="preserve"> </w:t>
            </w:r>
            <w:r w:rsidRPr="00AD12D9">
              <w:rPr>
                <w:rFonts w:ascii="Open Sans" w:hAnsi="Open Sans" w:cs="Open Sans"/>
                <w:color w:val="17365D" w:themeColor="text2" w:themeShade="BF"/>
              </w:rPr>
              <w:t>and</w:t>
            </w:r>
            <w:r w:rsidRPr="00AD12D9">
              <w:rPr>
                <w:rFonts w:ascii="Open Sans" w:hAnsi="Open Sans" w:cs="Open Sans"/>
                <w:color w:val="17365D" w:themeColor="text2" w:themeShade="BF"/>
                <w:spacing w:val="44"/>
              </w:rPr>
              <w:t xml:space="preserve"> </w:t>
            </w:r>
            <w:r w:rsidRPr="00AD12D9">
              <w:rPr>
                <w:rFonts w:ascii="Open Sans" w:hAnsi="Open Sans" w:cs="Open Sans"/>
                <w:color w:val="17365D" w:themeColor="text2" w:themeShade="BF"/>
              </w:rPr>
              <w:t>folk-art</w:t>
            </w:r>
            <w:r w:rsidRPr="00AD12D9">
              <w:rPr>
                <w:rFonts w:ascii="Open Sans" w:hAnsi="Open Sans" w:cs="Open Sans"/>
                <w:color w:val="17365D" w:themeColor="text2" w:themeShade="BF"/>
                <w:spacing w:val="46"/>
              </w:rPr>
              <w:t xml:space="preserve"> </w:t>
            </w:r>
            <w:r w:rsidRPr="00AD12D9">
              <w:rPr>
                <w:rFonts w:ascii="Open Sans" w:hAnsi="Open Sans" w:cs="Open Sans"/>
                <w:color w:val="17365D" w:themeColor="text2" w:themeShade="BF"/>
              </w:rPr>
              <w:t>courses</w:t>
            </w:r>
            <w:r w:rsidRPr="00AD12D9">
              <w:rPr>
                <w:rFonts w:ascii="Open Sans" w:hAnsi="Open Sans" w:cs="Open Sans"/>
                <w:color w:val="17365D" w:themeColor="text2" w:themeShade="BF"/>
                <w:spacing w:val="46"/>
              </w:rPr>
              <w:t xml:space="preserve"> </w:t>
            </w:r>
            <w:r w:rsidRPr="00AD12D9">
              <w:rPr>
                <w:rFonts w:ascii="Open Sans" w:hAnsi="Open Sans" w:cs="Open Sans"/>
                <w:color w:val="17365D" w:themeColor="text2" w:themeShade="BF"/>
              </w:rPr>
              <w:t>for</w:t>
            </w:r>
            <w:r w:rsidRPr="00AD12D9">
              <w:rPr>
                <w:rFonts w:ascii="Open Sans" w:hAnsi="Open Sans" w:cs="Open Sans"/>
                <w:color w:val="17365D" w:themeColor="text2" w:themeShade="BF"/>
                <w:spacing w:val="50"/>
              </w:rPr>
              <w:t xml:space="preserve"> </w:t>
            </w:r>
            <w:r w:rsidRPr="00AD12D9">
              <w:rPr>
                <w:rFonts w:ascii="Open Sans" w:hAnsi="Open Sans" w:cs="Open Sans"/>
                <w:color w:val="17365D" w:themeColor="text2" w:themeShade="BF"/>
                <w:spacing w:val="-4"/>
              </w:rPr>
              <w:t>3000</w:t>
            </w:r>
            <w:r w:rsidR="00AD12D9" w:rsidRPr="00AD12D9">
              <w:rPr>
                <w:rFonts w:ascii="Open Sans" w:hAnsi="Open Sans" w:cs="Open Sans"/>
                <w:color w:val="17365D" w:themeColor="text2" w:themeShade="BF"/>
                <w:spacing w:val="-4"/>
              </w:rPr>
              <w:t xml:space="preserve"> </w:t>
            </w:r>
            <w:r w:rsidR="00AD12D9" w:rsidRPr="00AD12D9">
              <w:rPr>
                <w:rFonts w:ascii="Open Sans" w:hAnsi="Open Sans" w:cs="Open Sans"/>
                <w:color w:val="17365D" w:themeColor="text2" w:themeShade="BF"/>
              </w:rPr>
              <w:t>children</w:t>
            </w:r>
            <w:r w:rsidR="00AD12D9" w:rsidRPr="00AD12D9">
              <w:rPr>
                <w:rFonts w:ascii="Open Sans" w:hAnsi="Open Sans" w:cs="Open Sans"/>
                <w:color w:val="17365D" w:themeColor="text2" w:themeShade="BF"/>
                <w:spacing w:val="35"/>
              </w:rPr>
              <w:t xml:space="preserve"> </w:t>
            </w:r>
            <w:r w:rsidR="00AD12D9" w:rsidRPr="00AD12D9">
              <w:rPr>
                <w:rFonts w:ascii="Open Sans" w:hAnsi="Open Sans" w:cs="Open Sans"/>
                <w:color w:val="17365D" w:themeColor="text2" w:themeShade="BF"/>
              </w:rPr>
              <w:t>and</w:t>
            </w:r>
            <w:r w:rsidR="00AD12D9" w:rsidRPr="00AD12D9">
              <w:rPr>
                <w:rFonts w:ascii="Open Sans" w:hAnsi="Open Sans" w:cs="Open Sans"/>
                <w:color w:val="17365D" w:themeColor="text2" w:themeShade="BF"/>
                <w:spacing w:val="35"/>
              </w:rPr>
              <w:t xml:space="preserve"> </w:t>
            </w:r>
            <w:proofErr w:type="gramStart"/>
            <w:r w:rsidR="00AD12D9" w:rsidRPr="00AD12D9">
              <w:rPr>
                <w:rFonts w:ascii="Open Sans" w:hAnsi="Open Sans" w:cs="Open Sans"/>
                <w:color w:val="17365D" w:themeColor="text2" w:themeShade="BF"/>
                <w:spacing w:val="-2"/>
              </w:rPr>
              <w:t>parents;</w:t>
            </w:r>
            <w:proofErr w:type="gramEnd"/>
          </w:p>
          <w:p w14:paraId="26D9A42E" w14:textId="77777777" w:rsidR="00AB1F3A" w:rsidRPr="00AD12D9" w:rsidRDefault="00AD12D9" w:rsidP="00AD12D9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58" w:line="276" w:lineRule="auto"/>
              <w:ind w:left="289" w:hanging="181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organization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1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of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2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6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joint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3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events,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4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presenting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2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common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2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2"/>
              </w:rPr>
              <w:t>traditions.</w:t>
            </w:r>
          </w:p>
          <w:p w14:paraId="651C9A95" w14:textId="77777777" w:rsidR="00AD12D9" w:rsidRDefault="00AD12D9" w:rsidP="00AD12D9">
            <w:pPr>
              <w:pStyle w:val="TableParagraph"/>
              <w:tabs>
                <w:tab w:val="left" w:pos="289"/>
              </w:tabs>
              <w:spacing w:before="58" w:line="276" w:lineRule="auto"/>
              <w:rPr>
                <w:rFonts w:ascii="Open Sans" w:hAnsi="Open Sans" w:cs="Open Sans"/>
                <w:color w:val="17365D" w:themeColor="text2" w:themeShade="BF"/>
                <w:spacing w:val="-2"/>
              </w:rPr>
            </w:pPr>
          </w:p>
          <w:p w14:paraId="48CE7989" w14:textId="77777777" w:rsidR="00AD12D9" w:rsidRDefault="00AD12D9" w:rsidP="00AD12D9">
            <w:pPr>
              <w:pStyle w:val="TableParagraph"/>
              <w:spacing w:before="1" w:line="276" w:lineRule="auto"/>
              <w:ind w:right="802"/>
              <w:rPr>
                <w:rFonts w:ascii="Open Sans" w:hAnsi="Open Sans" w:cs="Open Sans"/>
                <w:b/>
                <w:i/>
                <w:color w:val="17365D" w:themeColor="text2" w:themeShade="BF"/>
                <w:spacing w:val="-2"/>
              </w:rPr>
            </w:pP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2"/>
              </w:rPr>
              <w:t>On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5"/>
              </w:rPr>
              <w:t xml:space="preserve"> 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2"/>
              </w:rPr>
              <w:t>December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8"/>
              </w:rPr>
              <w:t xml:space="preserve"> 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2"/>
              </w:rPr>
              <w:t>31,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7"/>
              </w:rPr>
              <w:t xml:space="preserve"> 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2"/>
              </w:rPr>
              <w:t>2021,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7"/>
              </w:rPr>
              <w:t xml:space="preserve"> 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2"/>
              </w:rPr>
              <w:t>the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9"/>
              </w:rPr>
              <w:t xml:space="preserve"> 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2"/>
              </w:rPr>
              <w:t>project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8"/>
              </w:rPr>
              <w:t xml:space="preserve"> 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2"/>
              </w:rPr>
              <w:t>was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6"/>
              </w:rPr>
              <w:t xml:space="preserve"> 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2"/>
              </w:rPr>
              <w:t>successfully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5"/>
              </w:rPr>
              <w:t xml:space="preserve"> </w:t>
            </w: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  <w:spacing w:val="-2"/>
              </w:rPr>
              <w:t xml:space="preserve">finalized. </w:t>
            </w:r>
          </w:p>
          <w:p w14:paraId="156328BD" w14:textId="3EE741A7" w:rsidR="00AD12D9" w:rsidRPr="008A4F23" w:rsidRDefault="00AD12D9" w:rsidP="00AD12D9">
            <w:pPr>
              <w:pStyle w:val="TableParagraph"/>
              <w:spacing w:before="1" w:line="276" w:lineRule="auto"/>
              <w:ind w:right="802"/>
              <w:rPr>
                <w:rFonts w:ascii="Open Sans" w:hAnsi="Open Sans" w:cs="Open Sans"/>
                <w:b/>
                <w:i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b/>
                <w:i/>
                <w:color w:val="17365D" w:themeColor="text2" w:themeShade="BF"/>
              </w:rPr>
              <w:t>All activities provided in the project were completed (100%).</w:t>
            </w:r>
          </w:p>
          <w:p w14:paraId="181E8FA3" w14:textId="77777777" w:rsidR="00AD12D9" w:rsidRPr="008A4F23" w:rsidRDefault="00AD12D9" w:rsidP="00AD12D9">
            <w:pPr>
              <w:pStyle w:val="TableParagraph"/>
              <w:spacing w:before="148" w:line="276" w:lineRule="auto"/>
              <w:ind w:left="0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677923CC" w14:textId="610406C1" w:rsidR="00AD12D9" w:rsidRDefault="00AD12D9" w:rsidP="00AD12D9">
            <w:pPr>
              <w:pStyle w:val="TableParagraph"/>
              <w:spacing w:line="276" w:lineRule="auto"/>
              <w:ind w:right="99"/>
              <w:jc w:val="both"/>
              <w:rPr>
                <w:rFonts w:ascii="Open Sans" w:hAnsi="Open Sans" w:cs="Open Sans"/>
                <w:color w:val="17365D" w:themeColor="text2" w:themeShade="BF"/>
                <w:spacing w:val="-2"/>
                <w:w w:val="105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The cooperation between the partners in this project g</w:t>
            </w:r>
            <w:r w:rsidR="00524820">
              <w:rPr>
                <w:rFonts w:ascii="Open Sans" w:hAnsi="Open Sans" w:cs="Open Sans"/>
                <w:color w:val="17365D" w:themeColor="text2" w:themeShade="BF"/>
                <w:w w:val="105"/>
              </w:rPr>
              <w:t>a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 xml:space="preserve">ve them the opportunity to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organise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 xml:space="preserve"> joint cultural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programmes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, to get to know each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6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other's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7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particularities,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12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traditions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11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and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9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values,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9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and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9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to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9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contribute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1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5"/>
                <w:w w:val="105"/>
              </w:rPr>
              <w:t>to</w:t>
            </w:r>
            <w:r>
              <w:rPr>
                <w:rFonts w:ascii="Open Sans" w:hAnsi="Open Sans" w:cs="Open Sans"/>
                <w:color w:val="17365D" w:themeColor="text2" w:themeShade="BF"/>
                <w:spacing w:val="-5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the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8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strengthening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9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of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8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the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7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local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9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2"/>
                <w:w w:val="105"/>
              </w:rPr>
              <w:t>economy.</w:t>
            </w:r>
          </w:p>
          <w:p w14:paraId="4C0825BD" w14:textId="77777777" w:rsidR="00AD12D9" w:rsidRDefault="00AD12D9" w:rsidP="00AD12D9">
            <w:pPr>
              <w:pStyle w:val="TableParagraph"/>
              <w:spacing w:line="276" w:lineRule="auto"/>
              <w:ind w:right="99"/>
              <w:jc w:val="both"/>
              <w:rPr>
                <w:rFonts w:ascii="Open Sans" w:hAnsi="Open Sans" w:cs="Open Sans"/>
                <w:color w:val="17365D" w:themeColor="text2" w:themeShade="BF"/>
                <w:spacing w:val="-2"/>
                <w:w w:val="105"/>
              </w:rPr>
            </w:pPr>
          </w:p>
          <w:p w14:paraId="2D5F432B" w14:textId="77777777" w:rsidR="00AD12D9" w:rsidRPr="008A4F23" w:rsidRDefault="00AD12D9" w:rsidP="00AD12D9">
            <w:pPr>
              <w:pStyle w:val="TableParagraph"/>
              <w:spacing w:line="276" w:lineRule="auto"/>
              <w:rPr>
                <w:rFonts w:ascii="Open Sans" w:hAnsi="Open Sans" w:cs="Open Sans"/>
                <w:color w:val="17365D" w:themeColor="text2" w:themeShade="BF"/>
                <w:spacing w:val="-7"/>
                <w:w w:val="105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The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40"/>
                <w:w w:val="105"/>
              </w:rPr>
              <w:t xml:space="preserve">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Programme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  <w:spacing w:val="4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Output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4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Indicator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4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is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4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05"/>
              </w:rPr>
              <w:t>„</w:t>
            </w:r>
            <w:r w:rsidRPr="008A4F23">
              <w:rPr>
                <w:rFonts w:ascii="Open Sans" w:hAnsi="Open Sans" w:cs="Open Sans"/>
                <w:i/>
                <w:color w:val="17365D" w:themeColor="text2" w:themeShade="BF"/>
                <w:w w:val="105"/>
              </w:rPr>
              <w:t>11/b1</w:t>
            </w:r>
            <w:r w:rsidRPr="008A4F23">
              <w:rPr>
                <w:rFonts w:ascii="Open Sans" w:hAnsi="Open Sans" w:cs="Open Sans"/>
                <w:i/>
                <w:color w:val="17365D" w:themeColor="text2" w:themeShade="BF"/>
                <w:spacing w:val="4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i/>
                <w:color w:val="17365D" w:themeColor="text2" w:themeShade="BF"/>
                <w:w w:val="105"/>
              </w:rPr>
              <w:t>Number</w:t>
            </w:r>
            <w:r w:rsidRPr="008A4F23">
              <w:rPr>
                <w:rFonts w:ascii="Open Sans" w:hAnsi="Open Sans" w:cs="Open Sans"/>
                <w:i/>
                <w:color w:val="17365D" w:themeColor="text2" w:themeShade="BF"/>
                <w:spacing w:val="4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i/>
                <w:color w:val="17365D" w:themeColor="text2" w:themeShade="BF"/>
                <w:w w:val="105"/>
              </w:rPr>
              <w:t>of</w:t>
            </w:r>
            <w:r w:rsidRPr="008A4F23">
              <w:rPr>
                <w:rFonts w:ascii="Open Sans" w:hAnsi="Open Sans" w:cs="Open Sans"/>
                <w:i/>
                <w:color w:val="17365D" w:themeColor="text2" w:themeShade="BF"/>
                <w:spacing w:val="4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i/>
                <w:color w:val="17365D" w:themeColor="text2" w:themeShade="BF"/>
                <w:w w:val="105"/>
              </w:rPr>
              <w:t>institutions</w:t>
            </w:r>
            <w:r w:rsidRPr="008A4F23">
              <w:rPr>
                <w:rFonts w:ascii="Open Sans" w:hAnsi="Open Sans" w:cs="Open Sans"/>
                <w:i/>
                <w:color w:val="17365D" w:themeColor="text2" w:themeShade="BF"/>
                <w:spacing w:val="40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i/>
                <w:color w:val="17365D" w:themeColor="text2" w:themeShade="BF"/>
                <w:spacing w:val="-2"/>
                <w:w w:val="105"/>
              </w:rPr>
              <w:t>directly</w:t>
            </w:r>
            <w:r w:rsidRPr="008A4F23">
              <w:rPr>
                <w:rFonts w:ascii="Open Sans" w:hAnsi="Open Sans" w:cs="Open Sans"/>
                <w:i/>
                <w:color w:val="17365D" w:themeColor="text2" w:themeShade="BF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i/>
                <w:color w:val="17365D" w:themeColor="text2" w:themeShade="BF"/>
                <w:spacing w:val="-2"/>
                <w:w w:val="105"/>
              </w:rPr>
              <w:t>involved</w:t>
            </w:r>
            <w:r w:rsidRPr="008A4F23">
              <w:rPr>
                <w:rFonts w:ascii="Open Sans" w:hAnsi="Open Sans" w:cs="Open Sans"/>
                <w:i/>
                <w:color w:val="17365D" w:themeColor="text2" w:themeShade="BF"/>
                <w:spacing w:val="2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i/>
                <w:color w:val="17365D" w:themeColor="text2" w:themeShade="BF"/>
                <w:spacing w:val="-2"/>
                <w:w w:val="105"/>
              </w:rPr>
              <w:t>in</w:t>
            </w:r>
            <w:r w:rsidRPr="008A4F23">
              <w:rPr>
                <w:rFonts w:ascii="Open Sans" w:hAnsi="Open Sans" w:cs="Open Sans"/>
                <w:i/>
                <w:color w:val="17365D" w:themeColor="text2" w:themeShade="BF"/>
                <w:spacing w:val="1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i/>
                <w:color w:val="17365D" w:themeColor="text2" w:themeShade="BF"/>
                <w:spacing w:val="-2"/>
                <w:w w:val="105"/>
              </w:rPr>
              <w:t>cross-border</w:t>
            </w:r>
            <w:r w:rsidRPr="008A4F23">
              <w:rPr>
                <w:rFonts w:ascii="Open Sans" w:hAnsi="Open Sans" w:cs="Open Sans"/>
                <w:i/>
                <w:color w:val="17365D" w:themeColor="text2" w:themeShade="BF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i/>
                <w:color w:val="17365D" w:themeColor="text2" w:themeShade="BF"/>
                <w:spacing w:val="-2"/>
                <w:w w:val="105"/>
              </w:rPr>
              <w:t>cooperation</w:t>
            </w:r>
            <w:r w:rsidRPr="008A4F23">
              <w:rPr>
                <w:rFonts w:ascii="Open Sans" w:hAnsi="Open Sans" w:cs="Open Sans"/>
                <w:i/>
                <w:color w:val="17365D" w:themeColor="text2" w:themeShade="BF"/>
                <w:spacing w:val="1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i/>
                <w:color w:val="17365D" w:themeColor="text2" w:themeShade="BF"/>
                <w:spacing w:val="-2"/>
                <w:w w:val="105"/>
              </w:rPr>
              <w:t>initiatives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2"/>
                <w:w w:val="105"/>
              </w:rPr>
              <w:t>”.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7"/>
                <w:w w:val="105"/>
              </w:rPr>
              <w:t xml:space="preserve"> </w:t>
            </w:r>
          </w:p>
          <w:p w14:paraId="160FEB15" w14:textId="3AA09E57" w:rsidR="00AD12D9" w:rsidRPr="00AD12D9" w:rsidRDefault="00AD12D9" w:rsidP="00AD12D9">
            <w:pPr>
              <w:pStyle w:val="TableParagraph"/>
              <w:tabs>
                <w:tab w:val="left" w:pos="289"/>
              </w:tabs>
              <w:spacing w:before="58" w:line="276" w:lineRule="auto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  <w:spacing w:val="-2"/>
                <w:w w:val="105"/>
              </w:rPr>
              <w:t>Project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8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2"/>
                <w:w w:val="105"/>
              </w:rPr>
              <w:t>ROHU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6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10"/>
                <w:w w:val="105"/>
              </w:rPr>
              <w:t xml:space="preserve">–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10"/>
              </w:rPr>
              <w:t>281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64"/>
                <w:w w:val="15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10"/>
              </w:rPr>
              <w:t>contributes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63"/>
                <w:w w:val="15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10"/>
              </w:rPr>
              <w:t>to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64"/>
                <w:w w:val="15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10"/>
              </w:rPr>
              <w:t>this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62"/>
                <w:w w:val="15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10"/>
              </w:rPr>
              <w:t>indicator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64"/>
                <w:w w:val="15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10"/>
              </w:rPr>
              <w:t>by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62"/>
                <w:w w:val="150"/>
              </w:rPr>
              <w:t xml:space="preserve"> </w:t>
            </w:r>
            <w:r w:rsidRPr="008A4F23">
              <w:rPr>
                <w:rFonts w:ascii="Open Sans" w:hAnsi="Open Sans" w:cs="Open Sans"/>
                <w:color w:val="17365D" w:themeColor="text2" w:themeShade="BF"/>
                <w:w w:val="110"/>
              </w:rPr>
              <w:t>reaching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61"/>
                <w:w w:val="150"/>
              </w:rPr>
              <w:t xml:space="preserve"> </w:t>
            </w:r>
            <w:proofErr w:type="gramStart"/>
            <w:r w:rsidRPr="008A4F23">
              <w:rPr>
                <w:rFonts w:ascii="Open Sans" w:hAnsi="Open Sans" w:cs="Open Sans"/>
                <w:color w:val="17365D" w:themeColor="text2" w:themeShade="BF"/>
                <w:spacing w:val="-2"/>
                <w:w w:val="105"/>
              </w:rPr>
              <w:t>a number of</w:t>
            </w:r>
            <w:proofErr w:type="gramEnd"/>
            <w:r w:rsidRPr="008A4F23">
              <w:rPr>
                <w:rFonts w:ascii="Open Sans" w:hAnsi="Open Sans" w:cs="Open Sans"/>
                <w:color w:val="17365D" w:themeColor="text2" w:themeShade="BF"/>
                <w:spacing w:val="-2"/>
                <w:w w:val="105"/>
              </w:rPr>
              <w:t xml:space="preserve"> </w:t>
            </w: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2"/>
                <w:w w:val="105"/>
              </w:rPr>
              <w:t>2 institutions</w:t>
            </w:r>
            <w:r w:rsidRPr="008A4F23">
              <w:rPr>
                <w:rFonts w:ascii="Open Sans" w:hAnsi="Open Sans" w:cs="Open Sans"/>
                <w:color w:val="17365D" w:themeColor="text2" w:themeShade="BF"/>
                <w:spacing w:val="-2"/>
                <w:w w:val="105"/>
              </w:rPr>
              <w:t xml:space="preserve"> directly involved in the joint activities</w:t>
            </w:r>
          </w:p>
        </w:tc>
      </w:tr>
      <w:tr w:rsidR="00AD12D9" w:rsidRPr="008A4F23" w14:paraId="70E99DED" w14:textId="77777777">
        <w:trPr>
          <w:trHeight w:val="3100"/>
        </w:trPr>
        <w:tc>
          <w:tcPr>
            <w:tcW w:w="2263" w:type="dxa"/>
          </w:tcPr>
          <w:p w14:paraId="59D63414" w14:textId="77777777" w:rsidR="00AD12D9" w:rsidRDefault="00AD12D9" w:rsidP="00AD12D9">
            <w:pPr>
              <w:pStyle w:val="TableParagraph"/>
              <w:spacing w:line="276" w:lineRule="auto"/>
              <w:ind w:left="0"/>
              <w:jc w:val="center"/>
              <w:rPr>
                <w:rFonts w:ascii="Open Sans" w:hAnsi="Open Sans" w:cs="Open Sans"/>
                <w:b/>
                <w:bCs/>
                <w:color w:val="17365D" w:themeColor="text2" w:themeShade="BF"/>
                <w:spacing w:val="-7"/>
              </w:rPr>
            </w:pPr>
          </w:p>
          <w:p w14:paraId="3BE1C477" w14:textId="165BC661" w:rsidR="00AD12D9" w:rsidRPr="008A4F23" w:rsidRDefault="00AD12D9" w:rsidP="00AD12D9">
            <w:pPr>
              <w:pStyle w:val="TableParagraph"/>
              <w:spacing w:line="276" w:lineRule="auto"/>
              <w:ind w:left="0"/>
              <w:jc w:val="center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7"/>
              </w:rPr>
              <w:t>Main</w:t>
            </w: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  <w:spacing w:val="-15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17365D" w:themeColor="text2" w:themeShade="BF"/>
                <w:spacing w:val="-2"/>
              </w:rPr>
              <w:t>outcomes</w:t>
            </w:r>
          </w:p>
        </w:tc>
        <w:tc>
          <w:tcPr>
            <w:tcW w:w="7477" w:type="dxa"/>
          </w:tcPr>
          <w:p w14:paraId="7AB3CEA6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b/>
                <w:bCs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Deliverables</w:t>
            </w:r>
          </w:p>
          <w:p w14:paraId="5F0BAF50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1. Creation of Cross-Border Cultural Spaces: The partners aimed to establish spaces attached to schools where the traditions of the cross-border area could be studied by both children and adults, as well as hosting joint events:</w:t>
            </w:r>
          </w:p>
          <w:p w14:paraId="5E517763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-LB HU: A community space was converted (95 m²), including courtyard pavement and a new outdoor stage for performances and concerts (150 m²).</w:t>
            </w:r>
          </w:p>
          <w:p w14:paraId="765DFD4F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-PP2 RO: The school’s ceremonial room was renovated, and a 32 m² indoor stage was constructed.</w:t>
            </w:r>
          </w:p>
          <w:p w14:paraId="0ECBB291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2. Local Courses and Events Organized by LB HU Savio: </w:t>
            </w:r>
          </w:p>
          <w:p w14:paraId="378E29B0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-110 Enamel Art Courses for pupils (1-3 classes/week), led by a Master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lastRenderedPageBreak/>
              <w:t>of Folk Arts, with necessary equipment purchased.</w:t>
            </w:r>
          </w:p>
          <w:p w14:paraId="63E20393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-150 Folk Dance Courses for pupils (3-4 classes/week), led by professional dancers, with necessary equipment purchased (folk dance costumes, stage sound system, camcorder, laptop, CD player).</w:t>
            </w:r>
          </w:p>
          <w:p w14:paraId="70B018E8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-National Attire Presentation: A school event with 118 pupils participating, held on 27 April 2021.</w:t>
            </w:r>
          </w:p>
          <w:p w14:paraId="2EB87BD0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-Spice and Herb Garden Setup in the schoolyard, with related equipment acquired.</w:t>
            </w:r>
          </w:p>
          <w:p w14:paraId="76729408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-Sustainability Days on the topic of herbal gardens, organized from 1 to 3 June 2021, with 395 pupils participating. The necessary equipment was purchased (composter, hand tools, leaf blower, lawnmower).</w:t>
            </w:r>
          </w:p>
          <w:p w14:paraId="2385334C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-Open-Air Stage Ceremony: A hand-over ceremony for the new outdoor stage, held on 14 June 2021, with the entire pupil community of 146 participants. Equipment purchased included outdoor chairs.</w:t>
            </w:r>
          </w:p>
          <w:p w14:paraId="480DA1D5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3. Cross-Border Events Organized by LB HU Savio:</w:t>
            </w:r>
          </w:p>
          <w:p w14:paraId="4E063D32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-Christmas in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Békéscsaba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, 26 November 2021: A one-day event with 20 teachers (10 from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Jimbolia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 and 10 from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Békéscsaba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) and 44 students (24 from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Jimbolia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 and 20 from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Békéscsaba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>).</w:t>
            </w:r>
          </w:p>
          <w:p w14:paraId="606698AE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-Experts' Day in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Békéscsaba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, 14 December 2021: A one-day event with 40 teachers (20 from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Jimbolia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 and 20 from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Békéscsaba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>).</w:t>
            </w:r>
          </w:p>
          <w:p w14:paraId="5AFC2C2B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-Cavalcade in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Békéscsaba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, 11 October 2021: A one-day event with 20 teachers (10 from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Jimbolia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 and 10 from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Békéscsaba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) and 40 students (20 from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Jimbolia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 and 20 from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Békéscsaba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>).</w:t>
            </w:r>
          </w:p>
          <w:p w14:paraId="1737491D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4. Local Courses and Equipment Purchased by PP2 RO Gimnaziala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Jimbolia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 School:</w:t>
            </w:r>
          </w:p>
          <w:p w14:paraId="3EFC88B2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-Icon Painting Courses for Children: 20 courses, each attended by 20 children.</w:t>
            </w:r>
          </w:p>
          <w:p w14:paraId="7914E01D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-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Skilful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 Hands Courses: Organized 20 times, each attended by 20 children.</w:t>
            </w:r>
          </w:p>
          <w:p w14:paraId="30E6B55E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-Folk Dance Courses: 20 courses, with 40 children </w:t>
            </w:r>
            <w:proofErr w:type="gramStart"/>
            <w:r w:rsidRPr="008A4F23">
              <w:rPr>
                <w:rFonts w:ascii="Open Sans" w:hAnsi="Open Sans" w:cs="Open Sans"/>
                <w:color w:val="17365D" w:themeColor="text2" w:themeShade="BF"/>
              </w:rPr>
              <w:t>participating per</w:t>
            </w:r>
            <w:proofErr w:type="gramEnd"/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 event.</w:t>
            </w:r>
          </w:p>
          <w:p w14:paraId="1DC8A24E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-Gardening Event: 82 pupils participated in planting 162 plants in the vertical garden.</w:t>
            </w:r>
          </w:p>
          <w:p w14:paraId="350744EE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5. Cross-Border Events Organized by PP2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Jimbolia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>:</w:t>
            </w:r>
          </w:p>
          <w:p w14:paraId="72EC39F2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-Cultural Cavalcade in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Jimbolia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, 27 September 2021: A one-day event with 20 teachers (10 from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Jimbolia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 and 10 from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Békéscsaba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) and 40 pupils (20 from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Jimbolia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 and 20 from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Békéscsaba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>).</w:t>
            </w:r>
          </w:p>
          <w:p w14:paraId="1D98781C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-Exchange of Good Practices for Promoting Local History, 15 December 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lastRenderedPageBreak/>
              <w:t xml:space="preserve">2021: A one-day event attended by 20 teachers from each school,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Jimbolia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 and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Békéscsaba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>.</w:t>
            </w:r>
          </w:p>
          <w:p w14:paraId="7D448D87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-Study Tour, 23-24 August 2021: A two-day event attended by 20 teachers from each school,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Jimbolia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 and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Békéscsaba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>.</w:t>
            </w:r>
          </w:p>
          <w:p w14:paraId="49F67F8F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6. Equipment Purchased by PP2 </w:t>
            </w:r>
            <w:proofErr w:type="spellStart"/>
            <w:r w:rsidRPr="008A4F23">
              <w:rPr>
                <w:rFonts w:ascii="Open Sans" w:hAnsi="Open Sans" w:cs="Open Sans"/>
                <w:color w:val="17365D" w:themeColor="text2" w:themeShade="BF"/>
              </w:rPr>
              <w:t>Jimbolia</w:t>
            </w:r>
            <w:proofErr w:type="spellEnd"/>
            <w:r w:rsidRPr="008A4F23">
              <w:rPr>
                <w:rFonts w:ascii="Open Sans" w:hAnsi="Open Sans" w:cs="Open Sans"/>
                <w:color w:val="17365D" w:themeColor="text2" w:themeShade="BF"/>
              </w:rPr>
              <w:t>:</w:t>
            </w:r>
          </w:p>
          <w:p w14:paraId="1088732F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-Audio and video equipment</w:t>
            </w:r>
          </w:p>
          <w:p w14:paraId="5DB78A92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-Vertical herb garden with accessories</w:t>
            </w:r>
          </w:p>
          <w:p w14:paraId="654BDB3A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-Folk costumes</w:t>
            </w:r>
          </w:p>
          <w:p w14:paraId="2A263842" w14:textId="77777777" w:rsidR="00AD12D9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-Tables, chairs, cabinets</w:t>
            </w:r>
          </w:p>
          <w:p w14:paraId="1748FCF1" w14:textId="77777777" w:rsidR="00AD12D9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</w:p>
          <w:p w14:paraId="661C6F88" w14:textId="77777777" w:rsidR="00AD12D9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b/>
                <w:bCs/>
                <w:color w:val="17365D" w:themeColor="text2" w:themeShade="BF"/>
              </w:rPr>
              <w:t>Results</w:t>
            </w:r>
            <w:r>
              <w:rPr>
                <w:rFonts w:ascii="Open Sans" w:hAnsi="Open Sans" w:cs="Open Sans"/>
                <w:color w:val="17365D" w:themeColor="text2" w:themeShade="BF"/>
              </w:rPr>
              <w:t>:</w:t>
            </w:r>
          </w:p>
          <w:p w14:paraId="6BEFA745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 xml:space="preserve">1) A better access of the population to community spaces, through the transformation of unused buildings into functional public </w:t>
            </w:r>
            <w:r>
              <w:rPr>
                <w:rFonts w:ascii="Open Sans" w:hAnsi="Open Sans" w:cs="Open Sans"/>
                <w:color w:val="17365D" w:themeColor="text2" w:themeShade="BF"/>
              </w:rPr>
              <w:t>event spaces</w:t>
            </w:r>
            <w:r w:rsidRPr="008A4F23">
              <w:rPr>
                <w:rFonts w:ascii="Open Sans" w:hAnsi="Open Sans" w:cs="Open Sans"/>
                <w:color w:val="17365D" w:themeColor="text2" w:themeShade="BF"/>
              </w:rPr>
              <w:t>.</w:t>
            </w:r>
          </w:p>
          <w:p w14:paraId="63F0ED5D" w14:textId="77777777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2) Better cooperation between communities, through the development of arts and crafts and other traditional arts courses.</w:t>
            </w:r>
          </w:p>
          <w:p w14:paraId="5F3AE17F" w14:textId="1879DE8F" w:rsidR="00AD12D9" w:rsidRPr="008A4F23" w:rsidRDefault="00AD12D9" w:rsidP="00AD12D9">
            <w:pPr>
              <w:pStyle w:val="TableParagraph"/>
              <w:tabs>
                <w:tab w:val="left" w:pos="829"/>
              </w:tabs>
              <w:spacing w:before="1" w:line="276" w:lineRule="auto"/>
              <w:ind w:right="94"/>
              <w:rPr>
                <w:rFonts w:ascii="Open Sans" w:hAnsi="Open Sans" w:cs="Open Sans"/>
                <w:color w:val="17365D" w:themeColor="text2" w:themeShade="BF"/>
                <w:w w:val="105"/>
              </w:rPr>
            </w:pPr>
            <w:r w:rsidRPr="008A4F23">
              <w:rPr>
                <w:rFonts w:ascii="Open Sans" w:hAnsi="Open Sans" w:cs="Open Sans"/>
                <w:color w:val="17365D" w:themeColor="text2" w:themeShade="BF"/>
              </w:rPr>
              <w:t>3) The two schools learned from each other’s best practices and adapted them in their own institutions. Both partners created a community space attached to the school where they perpetuate the collected traditions to school-age children and adults and where they can organise joint events.</w:t>
            </w:r>
          </w:p>
        </w:tc>
      </w:tr>
    </w:tbl>
    <w:p w14:paraId="32CAACB0" w14:textId="77777777" w:rsidR="00AB1F3A" w:rsidRPr="008A4F23" w:rsidRDefault="00AB1F3A" w:rsidP="00AD12D9">
      <w:pPr>
        <w:pStyle w:val="TableParagraph"/>
        <w:spacing w:line="276" w:lineRule="auto"/>
        <w:rPr>
          <w:rFonts w:ascii="Open Sans" w:hAnsi="Open Sans" w:cs="Open Sans"/>
          <w:color w:val="17365D" w:themeColor="text2" w:themeShade="BF"/>
        </w:rPr>
        <w:sectPr w:rsidR="00AB1F3A" w:rsidRPr="008A4F23">
          <w:headerReference w:type="default" r:id="rId7"/>
          <w:footerReference w:type="default" r:id="rId8"/>
          <w:type w:val="continuous"/>
          <w:pgSz w:w="11910" w:h="16840"/>
          <w:pgMar w:top="2140" w:right="708" w:bottom="1520" w:left="1275" w:header="990" w:footer="1326" w:gutter="0"/>
          <w:pgNumType w:start="1"/>
          <w:cols w:space="720"/>
        </w:sectPr>
      </w:pPr>
    </w:p>
    <w:p w14:paraId="776C4653" w14:textId="77777777" w:rsidR="00A40730" w:rsidRPr="008A4F23" w:rsidRDefault="00A40730" w:rsidP="00AD12D9">
      <w:pPr>
        <w:spacing w:line="276" w:lineRule="auto"/>
        <w:rPr>
          <w:rFonts w:ascii="Open Sans" w:hAnsi="Open Sans" w:cs="Open Sans"/>
          <w:color w:val="17365D" w:themeColor="text2" w:themeShade="BF"/>
        </w:rPr>
      </w:pPr>
    </w:p>
    <w:sectPr w:rsidR="00A40730" w:rsidRPr="008A4F23">
      <w:type w:val="continuous"/>
      <w:pgSz w:w="11910" w:h="16840"/>
      <w:pgMar w:top="2160" w:right="708" w:bottom="1520" w:left="1275" w:header="99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E8B0" w14:textId="77777777" w:rsidR="00F73DB4" w:rsidRDefault="00F73DB4">
      <w:r>
        <w:separator/>
      </w:r>
    </w:p>
  </w:endnote>
  <w:endnote w:type="continuationSeparator" w:id="0">
    <w:p w14:paraId="16D4E2A7" w14:textId="77777777" w:rsidR="00F73DB4" w:rsidRDefault="00F7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4D0C" w14:textId="77777777" w:rsidR="00AB1F3A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0C859F" wp14:editId="7E6F160D">
              <wp:simplePos x="0" y="0"/>
              <wp:positionH relativeFrom="page">
                <wp:posOffset>902004</wp:posOffset>
              </wp:positionH>
              <wp:positionV relativeFrom="page">
                <wp:posOffset>9710550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F73F2" w14:textId="77777777" w:rsidR="00AB1F3A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C859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64.6pt;width:143.2pt;height:15.6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NaE+m/hAAAA&#10;DQEAAA8AAAAAAAAAAAAAAAAA7gMAAGRycy9kb3ducmV2LnhtbFBLBQYAAAAABAAEAPMAAAD8BAAA&#10;AAA=&#10;" filled="f" stroked="f">
              <v:textbox inset="0,0,0,0">
                <w:txbxContent>
                  <w:p w14:paraId="1E7F73F2" w14:textId="77777777" w:rsidR="00AB1F3A" w:rsidRDefault="00000000"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2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06ADE324" wp14:editId="57EF9DA4">
              <wp:simplePos x="0" y="0"/>
              <wp:positionH relativeFrom="page">
                <wp:posOffset>5537072</wp:posOffset>
              </wp:positionH>
              <wp:positionV relativeFrom="page">
                <wp:posOffset>9710550</wp:posOffset>
              </wp:positionV>
              <wp:extent cx="1333500" cy="3638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16DF7F" w14:textId="77777777" w:rsidR="00AB1F3A" w:rsidRDefault="00AB1F3A">
                          <w:pPr>
                            <w:pStyle w:val="BodyText"/>
                            <w:spacing w:before="33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rohu.eu</w:t>
                            </w:r>
                          </w:hyperlink>
                        </w:p>
                        <w:p w14:paraId="3488CD00" w14:textId="77777777" w:rsidR="00AB1F3A" w:rsidRDefault="00000000">
                          <w:pPr>
                            <w:spacing w:before="13"/>
                            <w:ind w:right="347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ADE324" id="Textbox 5" o:spid="_x0000_s1027" type="#_x0000_t202" style="position:absolute;margin-left:436pt;margin-top:764.6pt;width:105pt;height:28.6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" filled="f" stroked="f">
              <v:textbox inset="0,0,0,0">
                <w:txbxContent>
                  <w:p w14:paraId="1C16DF7F" w14:textId="77777777" w:rsidR="00AB1F3A" w:rsidRDefault="00AB1F3A">
                    <w:pPr>
                      <w:pStyle w:val="BodyText"/>
                      <w:spacing w:before="33"/>
                      <w:ind w:left="20"/>
                    </w:pPr>
                    <w:hyperlink r:id="rId2">
                      <w:r>
                        <w:rPr>
                          <w:color w:val="2D74B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</w:rPr>
                        <w:t>rohu.eu</w:t>
                      </w:r>
                    </w:hyperlink>
                  </w:p>
                  <w:p w14:paraId="3488CD00" w14:textId="77777777" w:rsidR="00AB1F3A" w:rsidRDefault="00000000">
                    <w:pPr>
                      <w:spacing w:before="13"/>
                      <w:ind w:right="347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B6B7" w14:textId="77777777" w:rsidR="00F73DB4" w:rsidRDefault="00F73DB4">
      <w:r>
        <w:separator/>
      </w:r>
    </w:p>
  </w:footnote>
  <w:footnote w:type="continuationSeparator" w:id="0">
    <w:p w14:paraId="7EEBD01C" w14:textId="77777777" w:rsidR="00F73DB4" w:rsidRDefault="00F73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A4A2" w14:textId="77777777" w:rsidR="00AB1F3A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1584" behindDoc="1" locked="0" layoutInCell="1" allowOverlap="1" wp14:anchorId="25D0FD7F" wp14:editId="5D99B937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4656" behindDoc="1" locked="0" layoutInCell="1" allowOverlap="1" wp14:anchorId="6D636924" wp14:editId="19C57514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4729426D" wp14:editId="14E6385A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F22FC"/>
    <w:multiLevelType w:val="hybridMultilevel"/>
    <w:tmpl w:val="94A87376"/>
    <w:lvl w:ilvl="0" w:tplc="F2322438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en-US" w:eastAsia="en-US" w:bidi="ar-SA"/>
      </w:rPr>
    </w:lvl>
    <w:lvl w:ilvl="1" w:tplc="E82C9492">
      <w:numFmt w:val="bullet"/>
      <w:lvlText w:val="•"/>
      <w:lvlJc w:val="left"/>
      <w:pPr>
        <w:ind w:left="1016" w:hanging="183"/>
      </w:pPr>
      <w:rPr>
        <w:rFonts w:hint="default"/>
        <w:lang w:val="en-US" w:eastAsia="en-US" w:bidi="ar-SA"/>
      </w:rPr>
    </w:lvl>
    <w:lvl w:ilvl="2" w:tplc="3272CE7A">
      <w:numFmt w:val="bullet"/>
      <w:lvlText w:val="•"/>
      <w:lvlJc w:val="left"/>
      <w:pPr>
        <w:ind w:left="1733" w:hanging="183"/>
      </w:pPr>
      <w:rPr>
        <w:rFonts w:hint="default"/>
        <w:lang w:val="en-US" w:eastAsia="en-US" w:bidi="ar-SA"/>
      </w:rPr>
    </w:lvl>
    <w:lvl w:ilvl="3" w:tplc="A9E0720A">
      <w:numFmt w:val="bullet"/>
      <w:lvlText w:val="•"/>
      <w:lvlJc w:val="left"/>
      <w:pPr>
        <w:ind w:left="2450" w:hanging="183"/>
      </w:pPr>
      <w:rPr>
        <w:rFonts w:hint="default"/>
        <w:lang w:val="en-US" w:eastAsia="en-US" w:bidi="ar-SA"/>
      </w:rPr>
    </w:lvl>
    <w:lvl w:ilvl="4" w:tplc="8828DFDE">
      <w:numFmt w:val="bullet"/>
      <w:lvlText w:val="•"/>
      <w:lvlJc w:val="left"/>
      <w:pPr>
        <w:ind w:left="3166" w:hanging="183"/>
      </w:pPr>
      <w:rPr>
        <w:rFonts w:hint="default"/>
        <w:lang w:val="en-US" w:eastAsia="en-US" w:bidi="ar-SA"/>
      </w:rPr>
    </w:lvl>
    <w:lvl w:ilvl="5" w:tplc="ECBEF726">
      <w:numFmt w:val="bullet"/>
      <w:lvlText w:val="•"/>
      <w:lvlJc w:val="left"/>
      <w:pPr>
        <w:ind w:left="3883" w:hanging="183"/>
      </w:pPr>
      <w:rPr>
        <w:rFonts w:hint="default"/>
        <w:lang w:val="en-US" w:eastAsia="en-US" w:bidi="ar-SA"/>
      </w:rPr>
    </w:lvl>
    <w:lvl w:ilvl="6" w:tplc="EF7274FE">
      <w:numFmt w:val="bullet"/>
      <w:lvlText w:val="•"/>
      <w:lvlJc w:val="left"/>
      <w:pPr>
        <w:ind w:left="4600" w:hanging="183"/>
      </w:pPr>
      <w:rPr>
        <w:rFonts w:hint="default"/>
        <w:lang w:val="en-US" w:eastAsia="en-US" w:bidi="ar-SA"/>
      </w:rPr>
    </w:lvl>
    <w:lvl w:ilvl="7" w:tplc="AAF05848">
      <w:numFmt w:val="bullet"/>
      <w:lvlText w:val="•"/>
      <w:lvlJc w:val="left"/>
      <w:pPr>
        <w:ind w:left="5316" w:hanging="183"/>
      </w:pPr>
      <w:rPr>
        <w:rFonts w:hint="default"/>
        <w:lang w:val="en-US" w:eastAsia="en-US" w:bidi="ar-SA"/>
      </w:rPr>
    </w:lvl>
    <w:lvl w:ilvl="8" w:tplc="15140B2E">
      <w:numFmt w:val="bullet"/>
      <w:lvlText w:val="•"/>
      <w:lvlJc w:val="left"/>
      <w:pPr>
        <w:ind w:left="6033" w:hanging="183"/>
      </w:pPr>
      <w:rPr>
        <w:rFonts w:hint="default"/>
        <w:lang w:val="en-US" w:eastAsia="en-US" w:bidi="ar-SA"/>
      </w:rPr>
    </w:lvl>
  </w:abstractNum>
  <w:abstractNum w:abstractNumId="1" w15:restartNumberingAfterBreak="0">
    <w:nsid w:val="5AC03CB4"/>
    <w:multiLevelType w:val="hybridMultilevel"/>
    <w:tmpl w:val="CF7A1344"/>
    <w:lvl w:ilvl="0" w:tplc="889C4F4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en-US" w:eastAsia="en-US" w:bidi="ar-SA"/>
      </w:rPr>
    </w:lvl>
    <w:lvl w:ilvl="1" w:tplc="71E4ACA8">
      <w:numFmt w:val="bullet"/>
      <w:lvlText w:val=""/>
      <w:lvlJc w:val="left"/>
      <w:pPr>
        <w:ind w:left="13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en-US" w:eastAsia="en-US" w:bidi="ar-SA"/>
      </w:rPr>
    </w:lvl>
    <w:lvl w:ilvl="2" w:tplc="3A6CD0EC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3" w:tplc="77A0C0BC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4" w:tplc="66A2E5CA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5" w:tplc="F760D2FA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6" w:tplc="5FA497AC">
      <w:numFmt w:val="bullet"/>
      <w:lvlText w:val="•"/>
      <w:lvlJc w:val="left"/>
      <w:pPr>
        <w:ind w:left="4743" w:hanging="360"/>
      </w:pPr>
      <w:rPr>
        <w:rFonts w:hint="default"/>
        <w:lang w:val="en-US" w:eastAsia="en-US" w:bidi="ar-SA"/>
      </w:rPr>
    </w:lvl>
    <w:lvl w:ilvl="7" w:tplc="0C1CD5B4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8" w:tplc="E5324FA8">
      <w:numFmt w:val="bullet"/>
      <w:lvlText w:val="•"/>
      <w:lvlJc w:val="left"/>
      <w:pPr>
        <w:ind w:left="61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B03B3B"/>
    <w:multiLevelType w:val="hybridMultilevel"/>
    <w:tmpl w:val="0D22186A"/>
    <w:lvl w:ilvl="0" w:tplc="126AABF0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en-US" w:eastAsia="en-US" w:bidi="ar-SA"/>
      </w:rPr>
    </w:lvl>
    <w:lvl w:ilvl="1" w:tplc="C69A7CEE">
      <w:numFmt w:val="bullet"/>
      <w:lvlText w:val="•"/>
      <w:lvlJc w:val="left"/>
      <w:pPr>
        <w:ind w:left="1016" w:hanging="183"/>
      </w:pPr>
      <w:rPr>
        <w:rFonts w:hint="default"/>
        <w:lang w:val="en-US" w:eastAsia="en-US" w:bidi="ar-SA"/>
      </w:rPr>
    </w:lvl>
    <w:lvl w:ilvl="2" w:tplc="301E545E">
      <w:numFmt w:val="bullet"/>
      <w:lvlText w:val="•"/>
      <w:lvlJc w:val="left"/>
      <w:pPr>
        <w:ind w:left="1733" w:hanging="183"/>
      </w:pPr>
      <w:rPr>
        <w:rFonts w:hint="default"/>
        <w:lang w:val="en-US" w:eastAsia="en-US" w:bidi="ar-SA"/>
      </w:rPr>
    </w:lvl>
    <w:lvl w:ilvl="3" w:tplc="FF7CCB66">
      <w:numFmt w:val="bullet"/>
      <w:lvlText w:val="•"/>
      <w:lvlJc w:val="left"/>
      <w:pPr>
        <w:ind w:left="2450" w:hanging="183"/>
      </w:pPr>
      <w:rPr>
        <w:rFonts w:hint="default"/>
        <w:lang w:val="en-US" w:eastAsia="en-US" w:bidi="ar-SA"/>
      </w:rPr>
    </w:lvl>
    <w:lvl w:ilvl="4" w:tplc="BC885018">
      <w:numFmt w:val="bullet"/>
      <w:lvlText w:val="•"/>
      <w:lvlJc w:val="left"/>
      <w:pPr>
        <w:ind w:left="3166" w:hanging="183"/>
      </w:pPr>
      <w:rPr>
        <w:rFonts w:hint="default"/>
        <w:lang w:val="en-US" w:eastAsia="en-US" w:bidi="ar-SA"/>
      </w:rPr>
    </w:lvl>
    <w:lvl w:ilvl="5" w:tplc="02DE7380">
      <w:numFmt w:val="bullet"/>
      <w:lvlText w:val="•"/>
      <w:lvlJc w:val="left"/>
      <w:pPr>
        <w:ind w:left="3883" w:hanging="183"/>
      </w:pPr>
      <w:rPr>
        <w:rFonts w:hint="default"/>
        <w:lang w:val="en-US" w:eastAsia="en-US" w:bidi="ar-SA"/>
      </w:rPr>
    </w:lvl>
    <w:lvl w:ilvl="6" w:tplc="8856B79A">
      <w:numFmt w:val="bullet"/>
      <w:lvlText w:val="•"/>
      <w:lvlJc w:val="left"/>
      <w:pPr>
        <w:ind w:left="4600" w:hanging="183"/>
      </w:pPr>
      <w:rPr>
        <w:rFonts w:hint="default"/>
        <w:lang w:val="en-US" w:eastAsia="en-US" w:bidi="ar-SA"/>
      </w:rPr>
    </w:lvl>
    <w:lvl w:ilvl="7" w:tplc="2E5A78A2">
      <w:numFmt w:val="bullet"/>
      <w:lvlText w:val="•"/>
      <w:lvlJc w:val="left"/>
      <w:pPr>
        <w:ind w:left="5316" w:hanging="183"/>
      </w:pPr>
      <w:rPr>
        <w:rFonts w:hint="default"/>
        <w:lang w:val="en-US" w:eastAsia="en-US" w:bidi="ar-SA"/>
      </w:rPr>
    </w:lvl>
    <w:lvl w:ilvl="8" w:tplc="704C8098">
      <w:numFmt w:val="bullet"/>
      <w:lvlText w:val="•"/>
      <w:lvlJc w:val="left"/>
      <w:pPr>
        <w:ind w:left="6033" w:hanging="183"/>
      </w:pPr>
      <w:rPr>
        <w:rFonts w:hint="default"/>
        <w:lang w:val="en-US" w:eastAsia="en-US" w:bidi="ar-SA"/>
      </w:rPr>
    </w:lvl>
  </w:abstractNum>
  <w:num w:numId="1" w16cid:durableId="602880230">
    <w:abstractNumId w:val="1"/>
  </w:num>
  <w:num w:numId="2" w16cid:durableId="956183093">
    <w:abstractNumId w:val="0"/>
  </w:num>
  <w:num w:numId="3" w16cid:durableId="1346050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1F3A"/>
    <w:rsid w:val="00487D60"/>
    <w:rsid w:val="00524820"/>
    <w:rsid w:val="00616EEC"/>
    <w:rsid w:val="008A4F23"/>
    <w:rsid w:val="00A40730"/>
    <w:rsid w:val="00AB1F3A"/>
    <w:rsid w:val="00AD12D9"/>
    <w:rsid w:val="00BC00B4"/>
    <w:rsid w:val="00C7467E"/>
    <w:rsid w:val="00D8517B"/>
    <w:rsid w:val="00DB1465"/>
    <w:rsid w:val="00F7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D7E97"/>
  <w15:docId w15:val="{E5490A76-4EF7-43E1-AEFC-69E2586B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"/>
      <w:ind w:right="347"/>
      <w:jc w:val="right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Camerzan Orsolya</cp:lastModifiedBy>
  <cp:revision>6</cp:revision>
  <dcterms:created xsi:type="dcterms:W3CDTF">2026-03-12T11:00:00Z</dcterms:created>
  <dcterms:modified xsi:type="dcterms:W3CDTF">2026-04-23T08:03:00Z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bbc59f3c-4eeb-4bfd-a466-cb4a95399173</vt:lpwstr>
  </property>
</Properties>
</file>