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B42D" w14:textId="77777777" w:rsidR="00FD41ED" w:rsidRPr="00E0236D" w:rsidRDefault="00FD41ED">
      <w:pPr>
        <w:pStyle w:val="BodyText"/>
        <w:rPr>
          <w:rFonts w:ascii="Open Sans" w:hAnsi="Open Sans" w:cs="Open Sans"/>
        </w:rPr>
      </w:pPr>
    </w:p>
    <w:p w14:paraId="402C2326" w14:textId="77777777" w:rsidR="00FD41ED" w:rsidRPr="00E0236D" w:rsidRDefault="00FD41ED">
      <w:pPr>
        <w:pStyle w:val="BodyText"/>
        <w:spacing w:before="177"/>
        <w:rPr>
          <w:rFonts w:ascii="Open Sans" w:hAnsi="Open Sans" w:cs="Open Sans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51"/>
        <w:gridCol w:w="7477"/>
        <w:gridCol w:w="112"/>
      </w:tblGrid>
      <w:tr w:rsidR="00FD41ED" w:rsidRPr="00E0236D" w14:paraId="4EBC09B5" w14:textId="77777777">
        <w:trPr>
          <w:trHeight w:val="464"/>
        </w:trPr>
        <w:tc>
          <w:tcPr>
            <w:tcW w:w="113" w:type="dxa"/>
          </w:tcPr>
          <w:p w14:paraId="784D4BEF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9628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0E2A75"/>
          </w:tcPr>
          <w:p w14:paraId="4866F594" w14:textId="77777777" w:rsidR="00FD41ED" w:rsidRPr="00E023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FFFFFF"/>
                <w:w w:val="90"/>
              </w:rPr>
              <w:t>2</w:t>
            </w:r>
            <w:r w:rsidRPr="00E0236D">
              <w:rPr>
                <w:rFonts w:ascii="Open Sans" w:hAnsi="Open Sans" w:cs="Open Sans"/>
                <w:color w:val="FFFFFF"/>
                <w:w w:val="90"/>
                <w:vertAlign w:val="superscript"/>
              </w:rPr>
              <w:t>nd</w:t>
            </w:r>
            <w:r w:rsidRPr="00E0236D">
              <w:rPr>
                <w:rFonts w:ascii="Open Sans" w:hAnsi="Open Sans" w:cs="Open Sans"/>
                <w:color w:val="FFFFFF"/>
                <w:spacing w:val="-3"/>
              </w:rPr>
              <w:t xml:space="preserve"> </w:t>
            </w:r>
            <w:r w:rsidRPr="00E0236D">
              <w:rPr>
                <w:rFonts w:ascii="Open Sans" w:hAnsi="Open Sans" w:cs="Open Sans"/>
                <w:color w:val="FFFFFF"/>
                <w:w w:val="90"/>
              </w:rPr>
              <w:t>Open</w:t>
            </w:r>
            <w:r w:rsidRPr="00E0236D">
              <w:rPr>
                <w:rFonts w:ascii="Open Sans" w:hAnsi="Open Sans" w:cs="Open Sans"/>
                <w:color w:val="FFFFFF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FFFFFF"/>
                <w:w w:val="90"/>
              </w:rPr>
              <w:t>Call</w:t>
            </w:r>
            <w:r w:rsidRPr="00E0236D">
              <w:rPr>
                <w:rFonts w:ascii="Open Sans" w:hAnsi="Open Sans" w:cs="Open Sans"/>
                <w:color w:val="FFFFFF"/>
                <w:spacing w:val="-3"/>
              </w:rPr>
              <w:t xml:space="preserve"> </w:t>
            </w:r>
            <w:r w:rsidRPr="00E0236D">
              <w:rPr>
                <w:rFonts w:ascii="Open Sans" w:hAnsi="Open Sans" w:cs="Open Sans"/>
                <w:color w:val="FFFFFF"/>
                <w:w w:val="90"/>
              </w:rPr>
              <w:t>-Normal</w:t>
            </w:r>
            <w:r w:rsidRPr="00E0236D">
              <w:rPr>
                <w:rFonts w:ascii="Open Sans" w:hAnsi="Open Sans" w:cs="Open Sans"/>
                <w:color w:val="FFFFFF"/>
                <w:spacing w:val="-6"/>
              </w:rPr>
              <w:t xml:space="preserve"> </w:t>
            </w:r>
            <w:r w:rsidRPr="00E0236D">
              <w:rPr>
                <w:rFonts w:ascii="Open Sans" w:hAnsi="Open Sans" w:cs="Open Sans"/>
                <w:color w:val="FFFFFF"/>
                <w:spacing w:val="-2"/>
                <w:w w:val="90"/>
              </w:rPr>
              <w:t>Projects</w:t>
            </w:r>
          </w:p>
        </w:tc>
        <w:tc>
          <w:tcPr>
            <w:tcW w:w="112" w:type="dxa"/>
            <w:shd w:val="clear" w:color="auto" w:fill="0E2A75"/>
          </w:tcPr>
          <w:p w14:paraId="30E7FC05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3BBBD838" w14:textId="77777777">
        <w:trPr>
          <w:trHeight w:val="462"/>
        </w:trPr>
        <w:tc>
          <w:tcPr>
            <w:tcW w:w="2264" w:type="dxa"/>
            <w:gridSpan w:val="2"/>
            <w:tcBorders>
              <w:top w:val="single" w:sz="8" w:space="0" w:color="000000"/>
            </w:tcBorders>
          </w:tcPr>
          <w:p w14:paraId="1ECD3FF2" w14:textId="77777777" w:rsidR="00FD41ED" w:rsidRPr="00E0236D" w:rsidRDefault="00000000">
            <w:pPr>
              <w:pStyle w:val="TableParagraph"/>
              <w:spacing w:line="301" w:lineRule="exact"/>
              <w:ind w:left="453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code</w:t>
            </w:r>
          </w:p>
        </w:tc>
        <w:tc>
          <w:tcPr>
            <w:tcW w:w="7477" w:type="dxa"/>
            <w:tcBorders>
              <w:top w:val="single" w:sz="8" w:space="0" w:color="000000"/>
            </w:tcBorders>
          </w:tcPr>
          <w:p w14:paraId="431ADC90" w14:textId="77777777" w:rsidR="00FD41ED" w:rsidRPr="003F02F0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F02F0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3F02F0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300</w:t>
            </w:r>
          </w:p>
        </w:tc>
        <w:tc>
          <w:tcPr>
            <w:tcW w:w="112" w:type="dxa"/>
            <w:tcBorders>
              <w:bottom w:val="nil"/>
              <w:right w:val="nil"/>
            </w:tcBorders>
          </w:tcPr>
          <w:p w14:paraId="788C5C3F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6891391D" w14:textId="77777777">
        <w:trPr>
          <w:trHeight w:val="1034"/>
        </w:trPr>
        <w:tc>
          <w:tcPr>
            <w:tcW w:w="2264" w:type="dxa"/>
            <w:gridSpan w:val="2"/>
          </w:tcPr>
          <w:p w14:paraId="3062B596" w14:textId="77777777" w:rsidR="00FD41ED" w:rsidRPr="00E0236D" w:rsidRDefault="00000000">
            <w:pPr>
              <w:pStyle w:val="TableParagraph"/>
              <w:spacing w:line="303" w:lineRule="exact"/>
              <w:ind w:left="484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title</w:t>
            </w:r>
          </w:p>
        </w:tc>
        <w:tc>
          <w:tcPr>
            <w:tcW w:w="7477" w:type="dxa"/>
          </w:tcPr>
          <w:p w14:paraId="55DCFBC8" w14:textId="2C4CBF5E" w:rsidR="00FD41ED" w:rsidRPr="003F02F0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F02F0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ProTourism</w:t>
            </w:r>
            <w:r w:rsidR="00B01E1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 </w:t>
            </w:r>
          </w:p>
          <w:p w14:paraId="19B3FBA7" w14:textId="77777777" w:rsidR="00FD41ED" w:rsidRPr="00E0236D" w:rsidRDefault="00000000">
            <w:pPr>
              <w:pStyle w:val="TableParagraph"/>
              <w:spacing w:before="34" w:line="340" w:lineRule="atLeast"/>
              <w:ind w:left="107"/>
              <w:rPr>
                <w:rFonts w:ascii="Open Sans" w:hAnsi="Open Sans" w:cs="Open Sans"/>
              </w:rPr>
            </w:pPr>
            <w:r w:rsidRPr="00A14F04">
              <w:rPr>
                <w:rFonts w:ascii="Open Sans" w:hAnsi="Open Sans" w:cs="Open Sans"/>
                <w:color w:val="003399"/>
              </w:rPr>
              <w:t>Common challenges - common solutions: institutional development in the field of tourism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28CA00E6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6A46D199" w14:textId="77777777">
        <w:trPr>
          <w:trHeight w:val="808"/>
        </w:trPr>
        <w:tc>
          <w:tcPr>
            <w:tcW w:w="2264" w:type="dxa"/>
            <w:gridSpan w:val="2"/>
          </w:tcPr>
          <w:p w14:paraId="26490B44" w14:textId="77777777" w:rsidR="00FD41ED" w:rsidRPr="00E0236D" w:rsidRDefault="00000000">
            <w:pPr>
              <w:pStyle w:val="TableParagraph"/>
              <w:spacing w:line="301" w:lineRule="exact"/>
              <w:ind w:left="470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w w:val="90"/>
              </w:rPr>
              <w:t>Priority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14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axis</w:t>
            </w:r>
          </w:p>
        </w:tc>
        <w:tc>
          <w:tcPr>
            <w:tcW w:w="7477" w:type="dxa"/>
          </w:tcPr>
          <w:p w14:paraId="5B420199" w14:textId="77777777" w:rsidR="00FD41ED" w:rsidRPr="00E0236D" w:rsidRDefault="00000000">
            <w:pPr>
              <w:pStyle w:val="TableParagraph"/>
              <w:spacing w:line="244" w:lineRule="auto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</w:rPr>
              <w:t>6</w:t>
            </w:r>
            <w:r w:rsidRPr="00E0236D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–</w:t>
            </w:r>
            <w:r w:rsidRPr="00E0236D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Promoting</w:t>
            </w:r>
            <w:r w:rsidRPr="00E0236D">
              <w:rPr>
                <w:rFonts w:ascii="Open Sans" w:hAnsi="Open Sans" w:cs="Open Sans"/>
                <w:color w:val="003399"/>
                <w:spacing w:val="2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cross-border</w:t>
            </w:r>
            <w:r w:rsidRPr="00E0236D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cooperation</w:t>
            </w:r>
            <w:r w:rsidRPr="00E0236D">
              <w:rPr>
                <w:rFonts w:ascii="Open Sans" w:hAnsi="Open Sans" w:cs="Open Sans"/>
                <w:color w:val="003399"/>
                <w:spacing w:val="2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between</w:t>
            </w:r>
            <w:r w:rsidRPr="00E0236D">
              <w:rPr>
                <w:rFonts w:ascii="Open Sans" w:hAnsi="Open Sans" w:cs="Open Sans"/>
                <w:color w:val="003399"/>
                <w:spacing w:val="2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institutions</w:t>
            </w:r>
            <w:r w:rsidRPr="00E0236D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 xml:space="preserve">and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citizen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(Cooperation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institutions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and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communities)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0E4438E1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7FA65672" w14:textId="77777777">
        <w:trPr>
          <w:trHeight w:val="810"/>
        </w:trPr>
        <w:tc>
          <w:tcPr>
            <w:tcW w:w="2264" w:type="dxa"/>
            <w:gridSpan w:val="2"/>
          </w:tcPr>
          <w:p w14:paraId="39E3CDD3" w14:textId="77777777" w:rsidR="00FD41ED" w:rsidRPr="00E0236D" w:rsidRDefault="00000000">
            <w:pPr>
              <w:pStyle w:val="TableParagraph"/>
              <w:spacing w:line="266" w:lineRule="auto"/>
              <w:ind w:left="714" w:hanging="216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 xml:space="preserve">Investment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priority</w:t>
            </w:r>
          </w:p>
        </w:tc>
        <w:tc>
          <w:tcPr>
            <w:tcW w:w="7477" w:type="dxa"/>
          </w:tcPr>
          <w:p w14:paraId="735BD910" w14:textId="77777777" w:rsidR="00FD41ED" w:rsidRPr="00E0236D" w:rsidRDefault="00000000" w:rsidP="00A14F04">
            <w:pPr>
              <w:pStyle w:val="TableParagraph"/>
              <w:spacing w:before="34" w:line="340" w:lineRule="atLeast"/>
              <w:ind w:left="107"/>
              <w:rPr>
                <w:rFonts w:ascii="Open Sans" w:hAnsi="Open Sans" w:cs="Open Sans"/>
              </w:rPr>
            </w:pPr>
            <w:r w:rsidRPr="00A14F04">
              <w:rPr>
                <w:rFonts w:ascii="Open Sans" w:hAnsi="Open Sans" w:cs="Open Sans"/>
                <w:color w:val="003399"/>
              </w:rPr>
              <w:t xml:space="preserve">11/b - Promoting legal and administrative cooperation and cooperation </w:t>
            </w:r>
            <w:r w:rsidRPr="00E0236D">
              <w:rPr>
                <w:rFonts w:ascii="Open Sans" w:hAnsi="Open Sans" w:cs="Open Sans"/>
                <w:color w:val="003399"/>
              </w:rPr>
              <w:t>between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citizens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and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institutions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25A32A9C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229A1EFB" w14:textId="77777777">
        <w:trPr>
          <w:trHeight w:val="808"/>
        </w:trPr>
        <w:tc>
          <w:tcPr>
            <w:tcW w:w="2264" w:type="dxa"/>
            <w:gridSpan w:val="2"/>
          </w:tcPr>
          <w:p w14:paraId="2B4F40F6" w14:textId="77777777" w:rsidR="00FD41ED" w:rsidRPr="00E0236D" w:rsidRDefault="00000000">
            <w:pPr>
              <w:pStyle w:val="TableParagraph"/>
              <w:spacing w:line="266" w:lineRule="auto"/>
              <w:ind w:left="774" w:hanging="538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10"/>
              </w:rPr>
              <w:t xml:space="preserve">Implementation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period</w:t>
            </w:r>
          </w:p>
        </w:tc>
        <w:tc>
          <w:tcPr>
            <w:tcW w:w="7477" w:type="dxa"/>
          </w:tcPr>
          <w:p w14:paraId="1A7BE66D" w14:textId="77777777" w:rsidR="00FD41ED" w:rsidRPr="00E0236D" w:rsidRDefault="00000000">
            <w:pPr>
              <w:pStyle w:val="TableParagraph"/>
              <w:spacing w:before="164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18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months</w:t>
            </w:r>
            <w:r w:rsidRPr="00E0236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(December</w:t>
            </w:r>
            <w:r w:rsidRPr="00E0236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01,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2018</w:t>
            </w:r>
            <w:r w:rsidRPr="00E0236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–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May</w:t>
            </w:r>
            <w:r w:rsidRPr="00E0236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31,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2020)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1E439AE6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732A19D2" w14:textId="77777777">
        <w:trPr>
          <w:trHeight w:val="808"/>
        </w:trPr>
        <w:tc>
          <w:tcPr>
            <w:tcW w:w="2264" w:type="dxa"/>
            <w:gridSpan w:val="2"/>
          </w:tcPr>
          <w:p w14:paraId="0DA34A38" w14:textId="77777777" w:rsidR="00FD41ED" w:rsidRPr="00E0236D" w:rsidRDefault="00000000">
            <w:pPr>
              <w:pStyle w:val="TableParagraph"/>
              <w:spacing w:before="163"/>
              <w:ind w:left="609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4C630150" w14:textId="77777777" w:rsidR="00FD41ED" w:rsidRPr="00E0236D" w:rsidRDefault="00000000" w:rsidP="00A14F04">
            <w:pPr>
              <w:pStyle w:val="TableParagraph"/>
              <w:spacing w:before="34" w:line="340" w:lineRule="atLeast"/>
              <w:ind w:left="107"/>
              <w:rPr>
                <w:rFonts w:ascii="Open Sans" w:hAnsi="Open Sans" w:cs="Open Sans"/>
              </w:rPr>
            </w:pPr>
            <w:r w:rsidRPr="00A14F04">
              <w:rPr>
                <w:rFonts w:ascii="Open Sans" w:hAnsi="Open Sans" w:cs="Open Sans"/>
                <w:color w:val="003399"/>
              </w:rPr>
              <w:t>The project’s main objective was to intensify the collaboration between the three local public authorities in the field of tourism promotion.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0D363208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671CDC95" w14:textId="77777777">
        <w:trPr>
          <w:trHeight w:val="930"/>
        </w:trPr>
        <w:tc>
          <w:tcPr>
            <w:tcW w:w="2264" w:type="dxa"/>
            <w:gridSpan w:val="2"/>
            <w:vMerge w:val="restart"/>
          </w:tcPr>
          <w:p w14:paraId="312D80FB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9B9E20B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2B219710" w14:textId="77777777" w:rsidR="00FD41ED" w:rsidRPr="00E0236D" w:rsidRDefault="00FD41ED">
            <w:pPr>
              <w:pStyle w:val="TableParagraph"/>
              <w:spacing w:before="181"/>
              <w:rPr>
                <w:rFonts w:ascii="Open Sans" w:hAnsi="Open Sans" w:cs="Open Sans"/>
                <w:b/>
                <w:bCs/>
              </w:rPr>
            </w:pPr>
          </w:p>
          <w:p w14:paraId="42AD1D33" w14:textId="77777777" w:rsidR="00FD41ED" w:rsidRPr="00E0236D" w:rsidRDefault="00000000">
            <w:pPr>
              <w:pStyle w:val="TableParagraph"/>
              <w:spacing w:before="1"/>
              <w:ind w:left="479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Partnership</w:t>
            </w:r>
          </w:p>
        </w:tc>
        <w:tc>
          <w:tcPr>
            <w:tcW w:w="7477" w:type="dxa"/>
          </w:tcPr>
          <w:p w14:paraId="064605F2" w14:textId="77777777" w:rsidR="00FD41ED" w:rsidRPr="00E023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w w:val="85"/>
              </w:rPr>
              <w:t>Lead</w:t>
            </w:r>
            <w:r w:rsidRPr="00E0236D">
              <w:rPr>
                <w:rFonts w:ascii="Open Sans" w:hAnsi="Open Sans" w:cs="Open Sans"/>
                <w:color w:val="003399"/>
                <w:spacing w:val="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Beneficiary:</w:t>
            </w:r>
          </w:p>
          <w:p w14:paraId="475ED547" w14:textId="77777777" w:rsidR="00FD41ED" w:rsidRPr="00E0236D" w:rsidRDefault="00000000">
            <w:pPr>
              <w:pStyle w:val="TableParagraph"/>
              <w:spacing w:before="156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6"/>
              </w:rPr>
              <w:t>Municipality</w:t>
            </w:r>
            <w:r w:rsidRPr="00E0236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Jimbolia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(Romania)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1C28DFC2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6EE9908A" w14:textId="77777777">
        <w:trPr>
          <w:trHeight w:val="1391"/>
        </w:trPr>
        <w:tc>
          <w:tcPr>
            <w:tcW w:w="2264" w:type="dxa"/>
            <w:gridSpan w:val="2"/>
            <w:vMerge/>
            <w:tcBorders>
              <w:top w:val="nil"/>
            </w:tcBorders>
          </w:tcPr>
          <w:p w14:paraId="5947286E" w14:textId="77777777" w:rsidR="00FD41ED" w:rsidRPr="00E0236D" w:rsidRDefault="00FD41ED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7" w:type="dxa"/>
          </w:tcPr>
          <w:p w14:paraId="19E6D7CF" w14:textId="77777777" w:rsidR="00FD41ED" w:rsidRPr="00E0236D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2"/>
                <w:w w:val="90"/>
              </w:rPr>
              <w:t>Project</w:t>
            </w:r>
            <w:r w:rsidRPr="00E0236D">
              <w:rPr>
                <w:rFonts w:ascii="Open Sans" w:hAnsi="Open Sans" w:cs="Open Sans"/>
                <w:color w:val="003399"/>
                <w:spacing w:val="-4"/>
                <w:w w:val="9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  <w:w w:val="95"/>
              </w:rPr>
              <w:t>Partners:</w:t>
            </w:r>
          </w:p>
          <w:p w14:paraId="47F1DD7E" w14:textId="77777777" w:rsidR="00FD41ED" w:rsidRPr="00E0236D" w:rsidRDefault="00000000">
            <w:pPr>
              <w:pStyle w:val="TableParagraph"/>
              <w:spacing w:before="154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6"/>
              </w:rPr>
              <w:t>PP2:</w:t>
            </w:r>
            <w:r w:rsidRPr="00E0236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Carpinis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Commune</w:t>
            </w:r>
            <w:r w:rsidRPr="00E0236D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(Romania)</w:t>
            </w:r>
          </w:p>
          <w:p w14:paraId="24CAF494" w14:textId="77777777" w:rsidR="00FD41ED" w:rsidRPr="00E0236D" w:rsidRDefault="00000000">
            <w:pPr>
              <w:pStyle w:val="TableParagraph"/>
              <w:spacing w:before="127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6"/>
              </w:rPr>
              <w:t>PP3:</w:t>
            </w:r>
            <w:r w:rsidRPr="00E0236D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Municipality</w:t>
            </w:r>
            <w:r w:rsidRPr="00E0236D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Csanadpalota</w:t>
            </w:r>
            <w:r w:rsidRPr="00E0236D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(Hungary)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1915A863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2ACE990A" w14:textId="77777777">
        <w:trPr>
          <w:trHeight w:val="1608"/>
        </w:trPr>
        <w:tc>
          <w:tcPr>
            <w:tcW w:w="2264" w:type="dxa"/>
            <w:gridSpan w:val="2"/>
          </w:tcPr>
          <w:p w14:paraId="115AEF47" w14:textId="77777777" w:rsidR="00FD41ED" w:rsidRPr="00E0236D" w:rsidRDefault="00000000">
            <w:pPr>
              <w:pStyle w:val="TableParagraph"/>
              <w:spacing w:line="306" w:lineRule="exact"/>
              <w:ind w:left="357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w w:val="85"/>
              </w:rPr>
              <w:t>TOTAL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689A350E" w14:textId="77777777" w:rsidR="00FD41ED" w:rsidRPr="00E0236D" w:rsidRDefault="00000000">
            <w:pPr>
              <w:pStyle w:val="TableParagraph"/>
              <w:spacing w:line="332" w:lineRule="exact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w w:val="90"/>
              </w:rPr>
              <w:t>€</w:t>
            </w:r>
            <w:r w:rsidRPr="00E0236D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w w:val="90"/>
              </w:rPr>
              <w:t>209,368.00,</w:t>
            </w:r>
            <w:r w:rsidRPr="00E0236D">
              <w:rPr>
                <w:rFonts w:ascii="Open Sans" w:hAnsi="Open Sans" w:cs="Open Sans"/>
                <w:color w:val="003399"/>
                <w:spacing w:val="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w w:val="90"/>
              </w:rPr>
              <w:t>out</w:t>
            </w:r>
            <w:r w:rsidRPr="00E0236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w w:val="90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w w:val="90"/>
              </w:rPr>
              <w:t>which</w:t>
            </w:r>
            <w:r w:rsidRPr="00E0236D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w w:val="90"/>
              </w:rPr>
              <w:t>ERDF</w:t>
            </w:r>
            <w:r w:rsidRPr="00E0236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w w:val="90"/>
              </w:rPr>
              <w:t>€</w:t>
            </w:r>
            <w:r w:rsidRPr="00E0236D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  <w:w w:val="90"/>
              </w:rPr>
              <w:t>177,962.80</w:t>
            </w:r>
          </w:p>
          <w:p w14:paraId="7EF2581D" w14:textId="77777777" w:rsidR="00FD41ED" w:rsidRPr="00E0236D" w:rsidRDefault="00000000">
            <w:pPr>
              <w:pStyle w:val="TableParagraph"/>
              <w:spacing w:before="207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6"/>
              </w:rPr>
              <w:t>Total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eligible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expenditure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certified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within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project: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€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179,950.68</w:t>
            </w:r>
          </w:p>
          <w:p w14:paraId="322B3E4E" w14:textId="77777777" w:rsidR="00FD41ED" w:rsidRPr="00E0236D" w:rsidRDefault="00000000">
            <w:pPr>
              <w:pStyle w:val="TableParagraph"/>
              <w:spacing w:before="213"/>
              <w:ind w:left="107"/>
              <w:rPr>
                <w:rFonts w:ascii="Open Sans" w:hAnsi="Open Sans" w:cs="Open Sans"/>
                <w:b/>
                <w:i/>
              </w:rPr>
            </w:pPr>
            <w:r w:rsidRPr="00E0236D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Budget execution: 85.95%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40021439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  <w:tr w:rsidR="00FD41ED" w:rsidRPr="00E0236D" w14:paraId="7D8252E8" w14:textId="77777777">
        <w:trPr>
          <w:trHeight w:val="2666"/>
        </w:trPr>
        <w:tc>
          <w:tcPr>
            <w:tcW w:w="2264" w:type="dxa"/>
            <w:gridSpan w:val="2"/>
          </w:tcPr>
          <w:p w14:paraId="52D1CF4D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560A9F6D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0930C5C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544E179D" w14:textId="77777777" w:rsidR="00FD41ED" w:rsidRPr="00E0236D" w:rsidRDefault="00FD41ED">
            <w:pPr>
              <w:pStyle w:val="TableParagraph"/>
              <w:spacing w:before="53"/>
              <w:rPr>
                <w:rFonts w:ascii="Open Sans" w:hAnsi="Open Sans" w:cs="Open Sans"/>
                <w:b/>
                <w:bCs/>
              </w:rPr>
            </w:pPr>
          </w:p>
          <w:p w14:paraId="52ECB4FB" w14:textId="77777777" w:rsidR="00FD41ED" w:rsidRPr="00E0236D" w:rsidRDefault="00000000">
            <w:pPr>
              <w:pStyle w:val="TableParagraph"/>
              <w:ind w:left="602"/>
              <w:rPr>
                <w:rFonts w:ascii="Open Sans" w:hAnsi="Open Sans" w:cs="Open Sans"/>
                <w:b/>
                <w:bCs/>
              </w:rPr>
            </w:pP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Summary</w:t>
            </w:r>
          </w:p>
        </w:tc>
        <w:tc>
          <w:tcPr>
            <w:tcW w:w="7477" w:type="dxa"/>
          </w:tcPr>
          <w:p w14:paraId="5DE7DDF1" w14:textId="77777777" w:rsidR="00FD41ED" w:rsidRPr="00E0236D" w:rsidRDefault="00000000">
            <w:pPr>
              <w:pStyle w:val="TableParagraph"/>
              <w:spacing w:line="244" w:lineRule="auto"/>
              <w:ind w:left="107" w:right="96"/>
              <w:jc w:val="both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project ROHU-300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>aimed to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develop the institutional capacity of the </w:t>
            </w:r>
            <w:r w:rsidRPr="00E0236D">
              <w:rPr>
                <w:rFonts w:ascii="Open Sans" w:hAnsi="Open Sans" w:cs="Open Sans"/>
                <w:color w:val="003399"/>
              </w:rPr>
              <w:t xml:space="preserve">participating local public administrations from 3 perspectives: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development</w:t>
            </w:r>
            <w:r w:rsidRPr="00E0236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human</w:t>
            </w:r>
            <w:r w:rsidRPr="00E0236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resources,</w:t>
            </w:r>
            <w:r w:rsidRPr="00E0236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development</w:t>
            </w:r>
            <w:r w:rsidRPr="00E0236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infrastructure</w:t>
            </w:r>
            <w:r w:rsidRPr="00E0236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 xml:space="preserve">and </w:t>
            </w:r>
            <w:r w:rsidRPr="00E0236D">
              <w:rPr>
                <w:rFonts w:ascii="Open Sans" w:hAnsi="Open Sans" w:cs="Open Sans"/>
                <w:color w:val="003399"/>
              </w:rPr>
              <w:t>development of tourism materials.</w:t>
            </w:r>
          </w:p>
          <w:p w14:paraId="233A61CF" w14:textId="77777777" w:rsidR="00FD41ED" w:rsidRPr="00E0236D" w:rsidRDefault="00FD41ED">
            <w:pPr>
              <w:pStyle w:val="TableParagraph"/>
              <w:spacing w:before="82"/>
              <w:rPr>
                <w:rFonts w:ascii="Open Sans" w:hAnsi="Open Sans" w:cs="Open Sans"/>
              </w:rPr>
            </w:pPr>
          </w:p>
          <w:p w14:paraId="11C71453" w14:textId="0C48CA6B" w:rsidR="00FD41ED" w:rsidRPr="00E0236D" w:rsidRDefault="00000000">
            <w:pPr>
              <w:pStyle w:val="TableParagraph"/>
              <w:ind w:left="107"/>
              <w:jc w:val="both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main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activities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implemented</w:t>
            </w:r>
            <w:r w:rsidRPr="00E0236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within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project:</w:t>
            </w:r>
          </w:p>
          <w:p w14:paraId="1D636AA1" w14:textId="77777777" w:rsidR="00FD41ED" w:rsidRPr="00E023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300" w:lineRule="exact"/>
              <w:ind w:right="96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</w:rPr>
              <w:t>development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human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resources,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through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4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workshops</w:t>
            </w:r>
            <w:r w:rsidRPr="00E0236D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and exchange</w:t>
            </w:r>
            <w:r w:rsidRPr="00E0236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best</w:t>
            </w:r>
            <w:r w:rsidRPr="00E0236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practices</w:t>
            </w:r>
            <w:r w:rsidRPr="00E0236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between</w:t>
            </w:r>
            <w:r w:rsidRPr="00E0236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3</w:t>
            </w:r>
            <w:r w:rsidRPr="00E0236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localities;</w:t>
            </w: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</w:tcPr>
          <w:p w14:paraId="09FE57FE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  <w:sz w:val="20"/>
              </w:rPr>
            </w:pPr>
          </w:p>
        </w:tc>
      </w:tr>
    </w:tbl>
    <w:p w14:paraId="0BB391DC" w14:textId="77777777" w:rsidR="00FD41ED" w:rsidRPr="00E0236D" w:rsidRDefault="00FD41ED">
      <w:pPr>
        <w:pStyle w:val="TableParagraph"/>
        <w:rPr>
          <w:rFonts w:ascii="Open Sans" w:hAnsi="Open Sans" w:cs="Open Sans"/>
          <w:sz w:val="20"/>
        </w:rPr>
        <w:sectPr w:rsidR="00FD41ED" w:rsidRPr="00E0236D">
          <w:headerReference w:type="default" r:id="rId7"/>
          <w:footerReference w:type="default" r:id="rId8"/>
          <w:type w:val="continuous"/>
          <w:pgSz w:w="11910" w:h="16840"/>
          <w:pgMar w:top="2140" w:right="566" w:bottom="1520" w:left="1417" w:header="990" w:footer="1326" w:gutter="0"/>
          <w:pgNumType w:start="1"/>
          <w:cols w:space="720"/>
        </w:sectPr>
      </w:pPr>
    </w:p>
    <w:p w14:paraId="02EF56E7" w14:textId="77777777" w:rsidR="00FD41ED" w:rsidRPr="00E0236D" w:rsidRDefault="00FD41ED">
      <w:pPr>
        <w:pStyle w:val="BodyText"/>
        <w:spacing w:before="61"/>
        <w:rPr>
          <w:rFonts w:ascii="Open Sans" w:hAnsi="Open Sans" w:cs="Open Sans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FD41ED" w:rsidRPr="00E0236D" w14:paraId="1572E2DB" w14:textId="77777777">
        <w:trPr>
          <w:trHeight w:val="6876"/>
        </w:trPr>
        <w:tc>
          <w:tcPr>
            <w:tcW w:w="2264" w:type="dxa"/>
          </w:tcPr>
          <w:p w14:paraId="32E59550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7478" w:type="dxa"/>
          </w:tcPr>
          <w:p w14:paraId="2C9DFD26" w14:textId="77777777" w:rsidR="00FD41ED" w:rsidRPr="00A14F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18" w:line="213" w:lineRule="auto"/>
              <w:ind w:right="95"/>
              <w:jc w:val="both"/>
              <w:rPr>
                <w:rFonts w:ascii="Open Sans" w:hAnsi="Open Sans" w:cs="Open Sans"/>
                <w:color w:val="003399"/>
              </w:rPr>
            </w:pPr>
            <w:r w:rsidRPr="00A14F04">
              <w:rPr>
                <w:rFonts w:ascii="Open Sans" w:hAnsi="Open Sans" w:cs="Open Sans"/>
                <w:color w:val="003399"/>
              </w:rPr>
              <w:t>development of tourism infrastructure, through the acquisition of equipment and small-scale renovation works of the 3 touristic Info- centers in Jimbolia, Carpinis (both in RO) and Csanadpalota (HU),</w:t>
            </w:r>
          </w:p>
          <w:p w14:paraId="4405788A" w14:textId="77777777" w:rsidR="00FD41ED" w:rsidRPr="00A14F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line="211" w:lineRule="auto"/>
              <w:ind w:right="98"/>
              <w:jc w:val="both"/>
              <w:rPr>
                <w:rFonts w:ascii="Open Sans" w:hAnsi="Open Sans" w:cs="Open Sans"/>
                <w:color w:val="003399"/>
              </w:rPr>
            </w:pPr>
            <w:r w:rsidRPr="00A14F04">
              <w:rPr>
                <w:rFonts w:ascii="Open Sans" w:hAnsi="Open Sans" w:cs="Open Sans"/>
                <w:color w:val="003399"/>
              </w:rPr>
              <w:t>developing tourism materials, used in the promotion of the cross- border region (2700 brochures, 1900 CD album) ;</w:t>
            </w:r>
          </w:p>
          <w:p w14:paraId="20EE28E4" w14:textId="77777777" w:rsidR="00FD41ED" w:rsidRPr="00A14F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293" w:lineRule="exact"/>
              <w:ind w:left="538" w:hanging="359"/>
              <w:jc w:val="both"/>
              <w:rPr>
                <w:rFonts w:ascii="Open Sans" w:hAnsi="Open Sans" w:cs="Open Sans"/>
                <w:color w:val="003399"/>
              </w:rPr>
            </w:pPr>
            <w:r w:rsidRPr="00A14F04">
              <w:rPr>
                <w:rFonts w:ascii="Open Sans" w:hAnsi="Open Sans" w:cs="Open Sans"/>
                <w:color w:val="003399"/>
              </w:rPr>
              <w:t>developing a Joint tourism-promoting strategy</w:t>
            </w:r>
          </w:p>
          <w:p w14:paraId="6BA375BD" w14:textId="77777777" w:rsidR="00FD41ED" w:rsidRPr="00E023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spacing w:before="7" w:line="213" w:lineRule="auto"/>
              <w:ind w:right="96" w:hanging="360"/>
              <w:jc w:val="both"/>
              <w:rPr>
                <w:rFonts w:ascii="Open Sans" w:hAnsi="Open Sans" w:cs="Open Sans"/>
              </w:rPr>
            </w:pPr>
            <w:r w:rsidRPr="00A14F04">
              <w:rPr>
                <w:rFonts w:ascii="Open Sans" w:hAnsi="Open Sans" w:cs="Open Sans"/>
                <w:color w:val="003399"/>
              </w:rPr>
              <w:t xml:space="preserve">organizing public meetings in Jimbolia, Carpinis and Csanadpalota </w:t>
            </w:r>
            <w:r w:rsidRPr="00E0236D">
              <w:rPr>
                <w:rFonts w:ascii="Open Sans" w:hAnsi="Open Sans" w:cs="Open Sans"/>
                <w:color w:val="003399"/>
              </w:rPr>
              <w:t>with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the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participation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of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30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persons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from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every</w:t>
            </w:r>
            <w:r w:rsidRPr="00A14F04">
              <w:rPr>
                <w:rFonts w:ascii="Open Sans" w:hAnsi="Open Sans" w:cs="Open Sans"/>
                <w:color w:val="00339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locality</w:t>
            </w:r>
          </w:p>
          <w:p w14:paraId="4CCEA421" w14:textId="2E7B6898" w:rsidR="00A14F04" w:rsidRDefault="00A14F04" w:rsidP="00A14F04">
            <w:pPr>
              <w:pStyle w:val="TableParagraph"/>
              <w:spacing w:line="244" w:lineRule="auto"/>
              <w:ind w:left="107" w:right="99"/>
              <w:jc w:val="both"/>
              <w:rPr>
                <w:rFonts w:ascii="Open Sans" w:hAnsi="Open Sans" w:cs="Open Sans"/>
                <w:color w:val="003399"/>
                <w:spacing w:val="-6"/>
              </w:rPr>
            </w:pPr>
          </w:p>
          <w:p w14:paraId="78E8B55D" w14:textId="73CCB388" w:rsidR="00FD41ED" w:rsidRDefault="00A14F04" w:rsidP="00A14F04">
            <w:pPr>
              <w:pStyle w:val="TableParagraph"/>
              <w:spacing w:line="244" w:lineRule="auto"/>
              <w:ind w:left="107" w:right="99"/>
              <w:jc w:val="both"/>
              <w:rPr>
                <w:rFonts w:ascii="Open Sans" w:hAnsi="Open Sans" w:cs="Open Sans"/>
                <w:color w:val="003399"/>
                <w:spacing w:val="-4"/>
              </w:rPr>
            </w:pPr>
            <w:r w:rsidRPr="00E0236D">
              <w:rPr>
                <w:rFonts w:ascii="Open Sans" w:hAnsi="Open Sans" w:cs="Open Sans"/>
                <w:color w:val="003399"/>
                <w:spacing w:val="-6"/>
              </w:rPr>
              <w:t>The partnership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between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the three local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public</w:t>
            </w:r>
            <w:r w:rsidRPr="00E0236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>administrations</w:t>
            </w:r>
            <w:r w:rsidRPr="00E0236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6"/>
              </w:rPr>
              <w:t xml:space="preserve">resulted </w:t>
            </w:r>
            <w:r w:rsidRPr="00E0236D">
              <w:rPr>
                <w:rFonts w:ascii="Open Sans" w:hAnsi="Open Sans" w:cs="Open Sans"/>
                <w:color w:val="003399"/>
              </w:rPr>
              <w:t>in improved professional relationships and the establishment of appropriate</w:t>
            </w:r>
            <w:r w:rsidRPr="00E0236D">
              <w:rPr>
                <w:rFonts w:ascii="Open Sans" w:hAnsi="Open Sans" w:cs="Open Sans"/>
                <w:color w:val="003399"/>
                <w:spacing w:val="2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tourist</w:t>
            </w:r>
            <w:r w:rsidRPr="00E0236D">
              <w:rPr>
                <w:rFonts w:ascii="Open Sans" w:hAnsi="Open Sans" w:cs="Open Sans"/>
                <w:color w:val="003399"/>
                <w:spacing w:val="2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infrastructure,</w:t>
            </w:r>
            <w:r w:rsidRPr="00E0236D">
              <w:rPr>
                <w:rFonts w:ascii="Open Sans" w:hAnsi="Open Sans" w:cs="Open Sans"/>
                <w:color w:val="003399"/>
                <w:spacing w:val="2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with</w:t>
            </w:r>
            <w:r w:rsidRPr="00E0236D">
              <w:rPr>
                <w:rFonts w:ascii="Open Sans" w:hAnsi="Open Sans" w:cs="Open Sans"/>
                <w:color w:val="003399"/>
                <w:spacing w:val="2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an</w:t>
            </w:r>
            <w:r w:rsidRPr="00E0236D">
              <w:rPr>
                <w:rFonts w:ascii="Open Sans" w:hAnsi="Open Sans" w:cs="Open Sans"/>
                <w:color w:val="003399"/>
                <w:spacing w:val="2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emphasis</w:t>
            </w:r>
            <w:r w:rsidRPr="00E0236D">
              <w:rPr>
                <w:rFonts w:ascii="Open Sans" w:hAnsi="Open Sans" w:cs="Open Sans"/>
                <w:color w:val="003399"/>
                <w:spacing w:val="2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</w:rPr>
              <w:t>on</w:t>
            </w:r>
            <w:r w:rsidRPr="00E0236D">
              <w:rPr>
                <w:rFonts w:ascii="Open Sans" w:hAnsi="Open Sans" w:cs="Open Sans"/>
                <w:color w:val="003399"/>
                <w:spacing w:val="25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promoting</w:t>
            </w:r>
            <w:r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>tourism</w:t>
            </w:r>
            <w:r w:rsidRPr="00E0236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>in</w:t>
            </w:r>
            <w:r w:rsidRPr="00E0236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4"/>
              </w:rPr>
              <w:t>region.</w:t>
            </w:r>
          </w:p>
          <w:p w14:paraId="029E4507" w14:textId="77777777" w:rsidR="00A14F04" w:rsidRPr="00E0236D" w:rsidRDefault="00A14F04" w:rsidP="00A14F04">
            <w:pPr>
              <w:pStyle w:val="TableParagraph"/>
              <w:spacing w:line="244" w:lineRule="auto"/>
              <w:ind w:left="107" w:right="99"/>
              <w:jc w:val="both"/>
              <w:rPr>
                <w:rFonts w:ascii="Open Sans" w:hAnsi="Open Sans" w:cs="Open Sans"/>
              </w:rPr>
            </w:pPr>
          </w:p>
          <w:p w14:paraId="1282AB99" w14:textId="77777777" w:rsidR="00FD41ED" w:rsidRPr="00E0236D" w:rsidRDefault="00000000">
            <w:pPr>
              <w:pStyle w:val="TableParagraph"/>
              <w:ind w:left="107"/>
              <w:rPr>
                <w:rFonts w:ascii="Open Sans" w:hAnsi="Open Sans" w:cs="Open Sans"/>
                <w:b/>
                <w:i/>
              </w:rPr>
            </w:pP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On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May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31,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2020,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the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project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was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successfully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finalized.</w:t>
            </w:r>
          </w:p>
          <w:p w14:paraId="646518BC" w14:textId="6C17E4FE" w:rsidR="00FD41ED" w:rsidRPr="00E0236D" w:rsidRDefault="00000000" w:rsidP="00A14F04">
            <w:pPr>
              <w:pStyle w:val="TableParagraph"/>
              <w:spacing w:before="93"/>
              <w:ind w:left="107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b/>
                <w:i/>
                <w:color w:val="003399"/>
              </w:rPr>
              <w:t>All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activities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provided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in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the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project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were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</w:rPr>
              <w:t>completed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9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(100%).</w:t>
            </w:r>
          </w:p>
        </w:tc>
      </w:tr>
      <w:tr w:rsidR="00FD41ED" w:rsidRPr="00E0236D" w14:paraId="67EB9F3B" w14:textId="77777777">
        <w:trPr>
          <w:trHeight w:val="4190"/>
        </w:trPr>
        <w:tc>
          <w:tcPr>
            <w:tcW w:w="2264" w:type="dxa"/>
          </w:tcPr>
          <w:p w14:paraId="73759704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  <w:p w14:paraId="012F5BC9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  <w:p w14:paraId="10E0CDB8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  <w:p w14:paraId="1B40B8F4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  <w:p w14:paraId="1D0434F5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  <w:p w14:paraId="457061B3" w14:textId="77777777" w:rsidR="00FD41ED" w:rsidRPr="00E0236D" w:rsidRDefault="00FD41ED">
            <w:pPr>
              <w:pStyle w:val="TableParagraph"/>
              <w:rPr>
                <w:rFonts w:ascii="Open Sans" w:hAnsi="Open Sans" w:cs="Open Sans"/>
              </w:rPr>
            </w:pPr>
          </w:p>
          <w:p w14:paraId="0360E530" w14:textId="77777777" w:rsidR="00FD41ED" w:rsidRPr="00E0236D" w:rsidRDefault="00FD41ED">
            <w:pPr>
              <w:pStyle w:val="TableParagraph"/>
              <w:spacing w:before="58"/>
              <w:rPr>
                <w:rFonts w:ascii="Open Sans" w:hAnsi="Open Sans" w:cs="Open Sans"/>
              </w:rPr>
            </w:pPr>
          </w:p>
          <w:p w14:paraId="37451371" w14:textId="4BEF1C88" w:rsidR="00FD41ED" w:rsidRPr="00FA2999" w:rsidRDefault="00000000">
            <w:pPr>
              <w:pStyle w:val="TableParagraph"/>
              <w:ind w:left="448"/>
              <w:rPr>
                <w:rFonts w:ascii="Open Sans" w:hAnsi="Open Sans" w:cs="Open Sans"/>
                <w:b/>
                <w:bCs/>
              </w:rPr>
            </w:pPr>
            <w:r w:rsidRPr="00FA2999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Main</w:t>
            </w:r>
            <w:r w:rsidRPr="00FA2999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r w:rsidR="00E0236D" w:rsidRPr="00FA2999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outcomes</w:t>
            </w:r>
          </w:p>
        </w:tc>
        <w:tc>
          <w:tcPr>
            <w:tcW w:w="7478" w:type="dxa"/>
          </w:tcPr>
          <w:p w14:paraId="2EF3699A" w14:textId="2685EF84" w:rsid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Deliverables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</w:t>
            </w:r>
          </w:p>
          <w:p w14:paraId="4B26F44A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1) Joint professional activities organized for 9 people (persons from staff) in order to gain new skills and knowledge in the tourism field;</w:t>
            </w:r>
          </w:p>
          <w:p w14:paraId="30768F54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2) 3 workshops were organized, with the theme of tourism entrepreneur skills;</w:t>
            </w:r>
          </w:p>
          <w:p w14:paraId="4F655831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3) 3 tourist info centers were created and equipped, one by each partner, which function as a unit of each institution;</w:t>
            </w:r>
          </w:p>
          <w:p w14:paraId="7DF51EFF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4) 3 public meetings in the field of rural tourism development and promotion;</w:t>
            </w:r>
          </w:p>
          <w:p w14:paraId="3FB31C9D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5) 1 Joint tourism promoting strategy;</w:t>
            </w:r>
          </w:p>
          <w:p w14:paraId="555D962A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6) 4600 promotional materials consisting of presentation albums with CD and brochures of the three localities where the project is implemented: Jimbolia, Carpinis and Csanadpalota, and a presentation film, to promote tourist attractions of each area.</w:t>
            </w:r>
          </w:p>
          <w:p w14:paraId="4F130692" w14:textId="77777777" w:rsidR="00E0236D" w:rsidRDefault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</w:p>
          <w:p w14:paraId="5E789B17" w14:textId="51114A20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Results </w:t>
            </w:r>
            <w:r w:rsidR="00A14F04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a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chieved:</w:t>
            </w:r>
          </w:p>
          <w:p w14:paraId="53E2BAF7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1) Development of the human resources of the three institutions involved in the project, through workshops and exchange of best practices.</w:t>
            </w:r>
          </w:p>
          <w:p w14:paraId="3C2B6801" w14:textId="16B8F990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2) Strengthen</w:t>
            </w:r>
            <w:r w:rsidR="00BC0903">
              <w:rPr>
                <w:rFonts w:ascii="Open Sans" w:hAnsi="Open Sans" w:cs="Open Sans"/>
                <w:color w:val="003399"/>
                <w:spacing w:val="-8"/>
              </w:rPr>
              <w:t>ed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cooperation between the participating local public 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lastRenderedPageBreak/>
              <w:t>administrations through the thematic workshops organized, which focused on tourism entrepreneur skills, rural tourism development and tourism promotion, including IT skills.</w:t>
            </w:r>
          </w:p>
          <w:p w14:paraId="6841B2C5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3) Promotion of the touristic attractions and the touristic services, through the 3 touristic information centers created, which function as units of the institutions.</w:t>
            </w:r>
          </w:p>
          <w:p w14:paraId="3B74298D" w14:textId="77777777" w:rsidR="00E0236D" w:rsidRPr="00E0236D" w:rsidRDefault="00E0236D" w:rsidP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  <w:r w:rsidRPr="00E0236D">
              <w:rPr>
                <w:rFonts w:ascii="Open Sans" w:hAnsi="Open Sans" w:cs="Open Sans"/>
                <w:color w:val="003399"/>
                <w:spacing w:val="-8"/>
              </w:rPr>
              <w:t>4) Development of tourism promotional materials, which will be used in the promotion of the region.</w:t>
            </w:r>
          </w:p>
          <w:p w14:paraId="39B49230" w14:textId="77777777" w:rsidR="00E0236D" w:rsidRDefault="00E0236D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color w:val="003399"/>
                <w:spacing w:val="-8"/>
              </w:rPr>
            </w:pPr>
          </w:p>
          <w:p w14:paraId="7575AEC6" w14:textId="7B11903B" w:rsidR="00E0236D" w:rsidRPr="00FA2999" w:rsidRDefault="00FA2999">
            <w:pPr>
              <w:pStyle w:val="TableParagraph"/>
              <w:spacing w:line="329" w:lineRule="exact"/>
              <w:ind w:left="107"/>
              <w:rPr>
                <w:rFonts w:ascii="Open Sans" w:hAnsi="Open Sans" w:cs="Open Sans"/>
                <w:b/>
                <w:bCs/>
                <w:color w:val="003399"/>
                <w:spacing w:val="-8"/>
              </w:rPr>
            </w:pPr>
            <w:r w:rsidRPr="00FA2999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Contribution to the Programme indicators: </w:t>
            </w:r>
          </w:p>
          <w:p w14:paraId="0EE0D17D" w14:textId="77777777" w:rsidR="00E0236D" w:rsidRDefault="00E0236D" w:rsidP="00E0236D">
            <w:pPr>
              <w:pStyle w:val="TableParagraph"/>
              <w:spacing w:line="244" w:lineRule="auto"/>
              <w:ind w:left="107" w:right="97"/>
              <w:jc w:val="both"/>
              <w:rPr>
                <w:rFonts w:ascii="Open Sans" w:hAnsi="Open Sans" w:cs="Open Sans"/>
                <w:color w:val="003399"/>
              </w:rPr>
            </w:pPr>
            <w:r w:rsidRPr="00E0236D">
              <w:rPr>
                <w:rFonts w:ascii="Open Sans" w:hAnsi="Open Sans" w:cs="Open Sans"/>
                <w:color w:val="003399"/>
                <w:spacing w:val="-2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Programme</w:t>
            </w:r>
            <w:r w:rsidRPr="00E0236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Output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Indicator</w:t>
            </w:r>
            <w:r w:rsidRPr="00E0236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is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„</w:t>
            </w:r>
            <w:r w:rsidRPr="00E0236D">
              <w:rPr>
                <w:rFonts w:ascii="Open Sans" w:hAnsi="Open Sans" w:cs="Open Sans"/>
                <w:i/>
                <w:color w:val="003399"/>
                <w:spacing w:val="-2"/>
              </w:rPr>
              <w:t>11/b1</w:t>
            </w:r>
            <w:r w:rsidRPr="00E0236D">
              <w:rPr>
                <w:rFonts w:ascii="Open Sans" w:hAnsi="Open Sans" w:cs="Open Sans"/>
                <w:i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i/>
                <w:color w:val="003399"/>
                <w:spacing w:val="-2"/>
              </w:rPr>
              <w:t>Number</w:t>
            </w:r>
            <w:r w:rsidRPr="00E0236D">
              <w:rPr>
                <w:rFonts w:ascii="Open Sans" w:hAnsi="Open Sans" w:cs="Open Sans"/>
                <w:i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i/>
                <w:color w:val="003399"/>
                <w:spacing w:val="-2"/>
              </w:rPr>
              <w:t>of institutions</w:t>
            </w:r>
            <w:r w:rsidRPr="00E0236D">
              <w:rPr>
                <w:rFonts w:ascii="Open Sans" w:hAnsi="Open Sans" w:cs="Open Sans"/>
                <w:i/>
                <w:color w:val="003399"/>
                <w:spacing w:val="-5"/>
              </w:rPr>
              <w:t xml:space="preserve"> </w:t>
            </w:r>
            <w:r w:rsidRPr="00E0236D">
              <w:rPr>
                <w:rFonts w:ascii="Open Sans" w:hAnsi="Open Sans" w:cs="Open Sans"/>
                <w:i/>
                <w:color w:val="003399"/>
                <w:spacing w:val="-2"/>
              </w:rPr>
              <w:t xml:space="preserve">directly </w:t>
            </w:r>
            <w:r w:rsidRPr="00E0236D">
              <w:rPr>
                <w:rFonts w:ascii="Open Sans" w:hAnsi="Open Sans" w:cs="Open Sans"/>
                <w:i/>
                <w:color w:val="003399"/>
              </w:rPr>
              <w:t>involved in cross-border cooperation initiatives</w:t>
            </w:r>
            <w:r w:rsidRPr="00E0236D">
              <w:rPr>
                <w:rFonts w:ascii="Open Sans" w:hAnsi="Open Sans" w:cs="Open Sans"/>
                <w:color w:val="003399"/>
              </w:rPr>
              <w:t xml:space="preserve">”. </w:t>
            </w:r>
          </w:p>
          <w:p w14:paraId="1E8ED0C4" w14:textId="7E924DB8" w:rsidR="00FD41ED" w:rsidRPr="00E0236D" w:rsidRDefault="00E0236D" w:rsidP="00E0236D">
            <w:pPr>
              <w:pStyle w:val="TableParagraph"/>
              <w:spacing w:line="244" w:lineRule="auto"/>
              <w:ind w:left="107" w:right="97"/>
              <w:jc w:val="both"/>
              <w:rPr>
                <w:rFonts w:ascii="Open Sans" w:hAnsi="Open Sans" w:cs="Open Sans"/>
              </w:rPr>
            </w:pPr>
            <w:r w:rsidRPr="00E0236D">
              <w:rPr>
                <w:rFonts w:ascii="Open Sans" w:hAnsi="Open Sans" w:cs="Open Sans"/>
                <w:color w:val="003399"/>
              </w:rPr>
              <w:t xml:space="preserve">Project ROHU-300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contribute</w:t>
            </w:r>
            <w:r w:rsidR="0032690A">
              <w:rPr>
                <w:rFonts w:ascii="Open Sans" w:hAnsi="Open Sans" w:cs="Open Sans"/>
                <w:color w:val="003399"/>
                <w:spacing w:val="-2"/>
              </w:rPr>
              <w:t>d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by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reaching</w:t>
            </w:r>
            <w:r w:rsidRPr="00E0236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a</w:t>
            </w:r>
            <w:r w:rsidRPr="00E0236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number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of</w:t>
            </w:r>
            <w:r w:rsidRPr="00E0236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3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13"/>
              </w:rPr>
              <w:t xml:space="preserve"> </w:t>
            </w:r>
            <w:r w:rsidRPr="00E0236D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institutions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from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Romania</w:t>
            </w:r>
            <w:r w:rsidRPr="00E0236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and Hungary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that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were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directly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involved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in</w:t>
            </w:r>
            <w:r w:rsidRPr="00E0236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the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cross-border</w:t>
            </w:r>
            <w:r w:rsidRPr="00E0236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E0236D">
              <w:rPr>
                <w:rFonts w:ascii="Open Sans" w:hAnsi="Open Sans" w:cs="Open Sans"/>
                <w:color w:val="003399"/>
                <w:spacing w:val="-2"/>
              </w:rPr>
              <w:t>cooperation.</w:t>
            </w:r>
          </w:p>
        </w:tc>
      </w:tr>
    </w:tbl>
    <w:p w14:paraId="554884D5" w14:textId="77777777" w:rsidR="000D0622" w:rsidRPr="00E0236D" w:rsidRDefault="000D0622">
      <w:pPr>
        <w:rPr>
          <w:rFonts w:ascii="Open Sans" w:hAnsi="Open Sans" w:cs="Open Sans"/>
        </w:rPr>
      </w:pPr>
    </w:p>
    <w:sectPr w:rsidR="000D0622" w:rsidRPr="00E0236D">
      <w:pgSz w:w="11910" w:h="16840"/>
      <w:pgMar w:top="2140" w:right="566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9778" w14:textId="77777777" w:rsidR="00810C4E" w:rsidRDefault="00810C4E">
      <w:r>
        <w:separator/>
      </w:r>
    </w:p>
  </w:endnote>
  <w:endnote w:type="continuationSeparator" w:id="0">
    <w:p w14:paraId="6804BE3B" w14:textId="77777777" w:rsidR="00810C4E" w:rsidRDefault="0081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D105" w14:textId="77777777" w:rsidR="00FD41E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3944CE5C" wp14:editId="1FAD7E5C">
              <wp:simplePos x="0" y="0"/>
              <wp:positionH relativeFrom="page">
                <wp:posOffset>902004</wp:posOffset>
              </wp:positionH>
              <wp:positionV relativeFrom="page">
                <wp:posOffset>9710855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B3FB2" w14:textId="77777777" w:rsidR="00FD41ED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D74B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4CE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5pt;width:143.2pt;height:15.6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Gz5kDXhAAAA&#10;DQEAAA8AAAAAAAAAAAAAAAAA7gMAAGRycy9kb3ducmV2LnhtbFBLBQYAAAAABAAEAPMAAAD8BAAA&#10;AAA=&#10;" filled="f" stroked="f">
              <v:textbox inset="0,0,0,0">
                <w:txbxContent>
                  <w:p w14:paraId="71CB3FB2" w14:textId="77777777" w:rsidR="00FD41ED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r>
                      <w:rPr>
                        <w:color w:val="2D74B5"/>
                        <w:spacing w:val="-2"/>
                      </w:rPr>
                      <w:t>Partnership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for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a</w:t>
                    </w:r>
                    <w:r>
                      <w:rPr>
                        <w:color w:val="2D74B5"/>
                        <w:spacing w:val="-14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better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5DD54837" wp14:editId="5A405A0B">
              <wp:simplePos x="0" y="0"/>
              <wp:positionH relativeFrom="page">
                <wp:posOffset>5325617</wp:posOffset>
              </wp:positionH>
              <wp:positionV relativeFrom="page">
                <wp:posOffset>9710855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631BF" w14:textId="77777777" w:rsidR="00FD41ED" w:rsidRDefault="00FD41ED">
                          <w:pPr>
                            <w:pStyle w:val="BodyText"/>
                            <w:spacing w:before="13" w:line="291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4B9F3A29" w14:textId="77777777" w:rsidR="00FD41ED" w:rsidRDefault="00000000">
                          <w:pPr>
                            <w:spacing w:line="252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54837" id="Textbox 5" o:spid="_x0000_s1027" type="#_x0000_t202" style="position:absolute;margin-left:419.35pt;margin-top:764.65pt;width:108.2pt;height:28.6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oafp&#10;QeIAAAAOAQAADwAAAAAAAAAAAAAAAADyAwAAZHJzL2Rvd25yZXYueG1sUEsFBgAAAAAEAAQA8wAA&#10;AAEFAAAAAA==&#10;" filled="f" stroked="f">
              <v:textbox inset="0,0,0,0">
                <w:txbxContent>
                  <w:p w14:paraId="3FB631BF" w14:textId="77777777" w:rsidR="00FD41ED" w:rsidRDefault="00FD41ED">
                    <w:pPr>
                      <w:pStyle w:val="BodyText"/>
                      <w:spacing w:before="13" w:line="291" w:lineRule="exact"/>
                      <w:ind w:left="20"/>
                    </w:pPr>
                    <w:hyperlink r:id="rId2">
                      <w:r>
                        <w:rPr>
                          <w:color w:val="2D74B5"/>
                          <w:w w:val="90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4B9F3A29" w14:textId="77777777" w:rsidR="00FD41ED" w:rsidRDefault="00000000">
                    <w:pPr>
                      <w:spacing w:line="252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D9D9" w14:textId="77777777" w:rsidR="00810C4E" w:rsidRDefault="00810C4E">
      <w:r>
        <w:separator/>
      </w:r>
    </w:p>
  </w:footnote>
  <w:footnote w:type="continuationSeparator" w:id="0">
    <w:p w14:paraId="1326234C" w14:textId="77777777" w:rsidR="00810C4E" w:rsidRDefault="0081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43E9" w14:textId="77777777" w:rsidR="00FD41E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0320" behindDoc="1" locked="0" layoutInCell="1" allowOverlap="1" wp14:anchorId="311AB06C" wp14:editId="67EEF2DA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0832" behindDoc="1" locked="0" layoutInCell="1" allowOverlap="1" wp14:anchorId="54E78A4F" wp14:editId="51B1CEDE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1344" behindDoc="1" locked="0" layoutInCell="1" allowOverlap="1" wp14:anchorId="2D59F025" wp14:editId="6E5E7895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55C"/>
    <w:multiLevelType w:val="hybridMultilevel"/>
    <w:tmpl w:val="664284D4"/>
    <w:lvl w:ilvl="0" w:tplc="61CE9FEA">
      <w:numFmt w:val="bullet"/>
      <w:lvlText w:val="-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2"/>
        <w:szCs w:val="22"/>
        <w:lang w:val="en-US" w:eastAsia="en-US" w:bidi="ar-SA"/>
      </w:rPr>
    </w:lvl>
    <w:lvl w:ilvl="1" w:tplc="4D0AE44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22A279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CFAC124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0E728A8C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C5FE2200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AD2E370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32D6B4B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757A669C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45704"/>
    <w:multiLevelType w:val="hybridMultilevel"/>
    <w:tmpl w:val="E7A08512"/>
    <w:lvl w:ilvl="0" w:tplc="71AA21FE">
      <w:numFmt w:val="bullet"/>
      <w:lvlText w:val=""/>
      <w:lvlJc w:val="left"/>
      <w:pPr>
        <w:ind w:left="539" w:hanging="324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7D8320E">
      <w:numFmt w:val="bullet"/>
      <w:lvlText w:val="•"/>
      <w:lvlJc w:val="left"/>
      <w:pPr>
        <w:ind w:left="1232" w:hanging="324"/>
      </w:pPr>
      <w:rPr>
        <w:rFonts w:hint="default"/>
        <w:lang w:val="en-US" w:eastAsia="en-US" w:bidi="ar-SA"/>
      </w:rPr>
    </w:lvl>
    <w:lvl w:ilvl="2" w:tplc="A1EC58EE">
      <w:numFmt w:val="bullet"/>
      <w:lvlText w:val="•"/>
      <w:lvlJc w:val="left"/>
      <w:pPr>
        <w:ind w:left="1925" w:hanging="324"/>
      </w:pPr>
      <w:rPr>
        <w:rFonts w:hint="default"/>
        <w:lang w:val="en-US" w:eastAsia="en-US" w:bidi="ar-SA"/>
      </w:rPr>
    </w:lvl>
    <w:lvl w:ilvl="3" w:tplc="F75AF8AC">
      <w:numFmt w:val="bullet"/>
      <w:lvlText w:val="•"/>
      <w:lvlJc w:val="left"/>
      <w:pPr>
        <w:ind w:left="2618" w:hanging="324"/>
      </w:pPr>
      <w:rPr>
        <w:rFonts w:hint="default"/>
        <w:lang w:val="en-US" w:eastAsia="en-US" w:bidi="ar-SA"/>
      </w:rPr>
    </w:lvl>
    <w:lvl w:ilvl="4" w:tplc="A1D4D96A">
      <w:numFmt w:val="bullet"/>
      <w:lvlText w:val="•"/>
      <w:lvlJc w:val="left"/>
      <w:pPr>
        <w:ind w:left="3311" w:hanging="324"/>
      </w:pPr>
      <w:rPr>
        <w:rFonts w:hint="default"/>
        <w:lang w:val="en-US" w:eastAsia="en-US" w:bidi="ar-SA"/>
      </w:rPr>
    </w:lvl>
    <w:lvl w:ilvl="5" w:tplc="46383478">
      <w:numFmt w:val="bullet"/>
      <w:lvlText w:val="•"/>
      <w:lvlJc w:val="left"/>
      <w:pPr>
        <w:ind w:left="4004" w:hanging="324"/>
      </w:pPr>
      <w:rPr>
        <w:rFonts w:hint="default"/>
        <w:lang w:val="en-US" w:eastAsia="en-US" w:bidi="ar-SA"/>
      </w:rPr>
    </w:lvl>
    <w:lvl w:ilvl="6" w:tplc="3CC24E26">
      <w:numFmt w:val="bullet"/>
      <w:lvlText w:val="•"/>
      <w:lvlJc w:val="left"/>
      <w:pPr>
        <w:ind w:left="4696" w:hanging="324"/>
      </w:pPr>
      <w:rPr>
        <w:rFonts w:hint="default"/>
        <w:lang w:val="en-US" w:eastAsia="en-US" w:bidi="ar-SA"/>
      </w:rPr>
    </w:lvl>
    <w:lvl w:ilvl="7" w:tplc="8806C46A">
      <w:numFmt w:val="bullet"/>
      <w:lvlText w:val="•"/>
      <w:lvlJc w:val="left"/>
      <w:pPr>
        <w:ind w:left="5389" w:hanging="324"/>
      </w:pPr>
      <w:rPr>
        <w:rFonts w:hint="default"/>
        <w:lang w:val="en-US" w:eastAsia="en-US" w:bidi="ar-SA"/>
      </w:rPr>
    </w:lvl>
    <w:lvl w:ilvl="8" w:tplc="9B707F30">
      <w:numFmt w:val="bullet"/>
      <w:lvlText w:val="•"/>
      <w:lvlJc w:val="left"/>
      <w:pPr>
        <w:ind w:left="6082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2069016D"/>
    <w:multiLevelType w:val="hybridMultilevel"/>
    <w:tmpl w:val="B3AAF4D6"/>
    <w:lvl w:ilvl="0" w:tplc="3F68C858">
      <w:numFmt w:val="bullet"/>
      <w:lvlText w:val=""/>
      <w:lvlJc w:val="left"/>
      <w:pPr>
        <w:ind w:left="539" w:hanging="324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8E1E81BE">
      <w:numFmt w:val="bullet"/>
      <w:lvlText w:val="•"/>
      <w:lvlJc w:val="left"/>
      <w:pPr>
        <w:ind w:left="1232" w:hanging="324"/>
      </w:pPr>
      <w:rPr>
        <w:rFonts w:hint="default"/>
        <w:lang w:val="en-US" w:eastAsia="en-US" w:bidi="ar-SA"/>
      </w:rPr>
    </w:lvl>
    <w:lvl w:ilvl="2" w:tplc="D478B70C">
      <w:numFmt w:val="bullet"/>
      <w:lvlText w:val="•"/>
      <w:lvlJc w:val="left"/>
      <w:pPr>
        <w:ind w:left="1925" w:hanging="324"/>
      </w:pPr>
      <w:rPr>
        <w:rFonts w:hint="default"/>
        <w:lang w:val="en-US" w:eastAsia="en-US" w:bidi="ar-SA"/>
      </w:rPr>
    </w:lvl>
    <w:lvl w:ilvl="3" w:tplc="E5E401DE">
      <w:numFmt w:val="bullet"/>
      <w:lvlText w:val="•"/>
      <w:lvlJc w:val="left"/>
      <w:pPr>
        <w:ind w:left="2618" w:hanging="324"/>
      </w:pPr>
      <w:rPr>
        <w:rFonts w:hint="default"/>
        <w:lang w:val="en-US" w:eastAsia="en-US" w:bidi="ar-SA"/>
      </w:rPr>
    </w:lvl>
    <w:lvl w:ilvl="4" w:tplc="18386D72">
      <w:numFmt w:val="bullet"/>
      <w:lvlText w:val="•"/>
      <w:lvlJc w:val="left"/>
      <w:pPr>
        <w:ind w:left="3310" w:hanging="324"/>
      </w:pPr>
      <w:rPr>
        <w:rFonts w:hint="default"/>
        <w:lang w:val="en-US" w:eastAsia="en-US" w:bidi="ar-SA"/>
      </w:rPr>
    </w:lvl>
    <w:lvl w:ilvl="5" w:tplc="251E4F66">
      <w:numFmt w:val="bullet"/>
      <w:lvlText w:val="•"/>
      <w:lvlJc w:val="left"/>
      <w:pPr>
        <w:ind w:left="4003" w:hanging="324"/>
      </w:pPr>
      <w:rPr>
        <w:rFonts w:hint="default"/>
        <w:lang w:val="en-US" w:eastAsia="en-US" w:bidi="ar-SA"/>
      </w:rPr>
    </w:lvl>
    <w:lvl w:ilvl="6" w:tplc="9132B1DE">
      <w:numFmt w:val="bullet"/>
      <w:lvlText w:val="•"/>
      <w:lvlJc w:val="left"/>
      <w:pPr>
        <w:ind w:left="4696" w:hanging="324"/>
      </w:pPr>
      <w:rPr>
        <w:rFonts w:hint="default"/>
        <w:lang w:val="en-US" w:eastAsia="en-US" w:bidi="ar-SA"/>
      </w:rPr>
    </w:lvl>
    <w:lvl w:ilvl="7" w:tplc="0666D258">
      <w:numFmt w:val="bullet"/>
      <w:lvlText w:val="•"/>
      <w:lvlJc w:val="left"/>
      <w:pPr>
        <w:ind w:left="5388" w:hanging="324"/>
      </w:pPr>
      <w:rPr>
        <w:rFonts w:hint="default"/>
        <w:lang w:val="en-US" w:eastAsia="en-US" w:bidi="ar-SA"/>
      </w:rPr>
    </w:lvl>
    <w:lvl w:ilvl="8" w:tplc="24AAE0CC">
      <w:numFmt w:val="bullet"/>
      <w:lvlText w:val="•"/>
      <w:lvlJc w:val="left"/>
      <w:pPr>
        <w:ind w:left="6081" w:hanging="324"/>
      </w:pPr>
      <w:rPr>
        <w:rFonts w:hint="default"/>
        <w:lang w:val="en-US" w:eastAsia="en-US" w:bidi="ar-SA"/>
      </w:rPr>
    </w:lvl>
  </w:abstractNum>
  <w:num w:numId="1" w16cid:durableId="1619414186">
    <w:abstractNumId w:val="0"/>
  </w:num>
  <w:num w:numId="2" w16cid:durableId="1738354460">
    <w:abstractNumId w:val="1"/>
  </w:num>
  <w:num w:numId="3" w16cid:durableId="701055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1ED"/>
    <w:rsid w:val="000D0622"/>
    <w:rsid w:val="0032690A"/>
    <w:rsid w:val="003A44FC"/>
    <w:rsid w:val="003F02F0"/>
    <w:rsid w:val="004A2942"/>
    <w:rsid w:val="007C3D29"/>
    <w:rsid w:val="00810C4E"/>
    <w:rsid w:val="00A14F04"/>
    <w:rsid w:val="00B01E14"/>
    <w:rsid w:val="00BC0903"/>
    <w:rsid w:val="00E0236D"/>
    <w:rsid w:val="00FA2999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87B8"/>
  <w15:docId w15:val="{F39EEFBF-52A6-4FEE-8885-F1A1F54F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6</cp:revision>
  <dcterms:created xsi:type="dcterms:W3CDTF">2026-03-16T14:39:00Z</dcterms:created>
  <dcterms:modified xsi:type="dcterms:W3CDTF">2026-04-23T08:01:00Z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a4fcee8d-f57f-49df-88a9-34a6a1e1ca25</vt:lpwstr>
  </property>
</Properties>
</file>