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DAE5" w14:textId="77777777" w:rsidR="00F33144" w:rsidRDefault="00F33144">
      <w:pPr>
        <w:pStyle w:val="BodyText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674"/>
      </w:tblGrid>
      <w:tr w:rsidR="00F33144" w:rsidRPr="007415D1" w14:paraId="37F31F94" w14:textId="77777777" w:rsidTr="007415D1">
        <w:trPr>
          <w:trHeight w:val="438"/>
        </w:trPr>
        <w:tc>
          <w:tcPr>
            <w:tcW w:w="9740" w:type="dxa"/>
            <w:gridSpan w:val="2"/>
            <w:shd w:val="clear" w:color="auto" w:fill="17365D" w:themeFill="text2" w:themeFillShade="BF"/>
          </w:tcPr>
          <w:p w14:paraId="45826F42" w14:textId="77777777" w:rsidR="00F33144" w:rsidRPr="007415D1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7415D1">
              <w:rPr>
                <w:rFonts w:ascii="Open Sans" w:hAnsi="Open Sans" w:cs="Open Sans"/>
                <w:b/>
                <w:bCs/>
                <w:color w:val="FFFFFF"/>
              </w:rPr>
              <w:t>1</w:t>
            </w:r>
            <w:r w:rsidRPr="007415D1">
              <w:rPr>
                <w:rFonts w:ascii="Open Sans" w:hAnsi="Open Sans" w:cs="Open Sans"/>
                <w:b/>
                <w:bCs/>
                <w:color w:val="FFFFFF"/>
                <w:vertAlign w:val="superscript"/>
              </w:rPr>
              <w:t>st</w:t>
            </w:r>
            <w:r w:rsidRPr="007415D1">
              <w:rPr>
                <w:rFonts w:ascii="Open Sans" w:hAnsi="Open Sans" w:cs="Open Sans"/>
                <w:b/>
                <w:bCs/>
                <w:color w:val="FFFFFF"/>
              </w:rPr>
              <w:t xml:space="preserve"> Open Call- Normal Projects</w:t>
            </w:r>
          </w:p>
        </w:tc>
      </w:tr>
      <w:tr w:rsidR="007415D1" w:rsidRPr="007415D1" w14:paraId="050C8FA2" w14:textId="77777777">
        <w:trPr>
          <w:trHeight w:val="441"/>
        </w:trPr>
        <w:tc>
          <w:tcPr>
            <w:tcW w:w="2066" w:type="dxa"/>
          </w:tcPr>
          <w:p w14:paraId="050F3A20" w14:textId="77777777" w:rsidR="00F33144" w:rsidRPr="007415D1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Project code</w:t>
            </w:r>
          </w:p>
        </w:tc>
        <w:tc>
          <w:tcPr>
            <w:tcW w:w="7674" w:type="dxa"/>
          </w:tcPr>
          <w:p w14:paraId="34358A6F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ROHU-72</w:t>
            </w:r>
          </w:p>
        </w:tc>
      </w:tr>
      <w:tr w:rsidR="007415D1" w:rsidRPr="007415D1" w14:paraId="1B3E860A" w14:textId="77777777">
        <w:trPr>
          <w:trHeight w:val="899"/>
        </w:trPr>
        <w:tc>
          <w:tcPr>
            <w:tcW w:w="2066" w:type="dxa"/>
          </w:tcPr>
          <w:p w14:paraId="4DEEDC05" w14:textId="77777777" w:rsidR="00F33144" w:rsidRPr="007415D1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Project title</w:t>
            </w:r>
          </w:p>
        </w:tc>
        <w:tc>
          <w:tcPr>
            <w:tcW w:w="7674" w:type="dxa"/>
          </w:tcPr>
          <w:p w14:paraId="5F7B7F0F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CBN</w:t>
            </w:r>
          </w:p>
          <w:p w14:paraId="1FC65B16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Cross - border network for disaster resilience and emergency situations</w:t>
            </w:r>
          </w:p>
          <w:p w14:paraId="17A11F68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risks management.</w:t>
            </w:r>
          </w:p>
        </w:tc>
      </w:tr>
      <w:tr w:rsidR="007415D1" w:rsidRPr="007415D1" w14:paraId="5CA1880F" w14:textId="77777777" w:rsidTr="007415D1">
        <w:trPr>
          <w:trHeight w:val="568"/>
        </w:trPr>
        <w:tc>
          <w:tcPr>
            <w:tcW w:w="2066" w:type="dxa"/>
          </w:tcPr>
          <w:p w14:paraId="48A8FC62" w14:textId="77777777" w:rsidR="00F33144" w:rsidRPr="007415D1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Priority axis</w:t>
            </w:r>
          </w:p>
        </w:tc>
        <w:tc>
          <w:tcPr>
            <w:tcW w:w="7674" w:type="dxa"/>
          </w:tcPr>
          <w:p w14:paraId="15E711C6" w14:textId="77777777" w:rsidR="00F33144" w:rsidRPr="007415D1" w:rsidRDefault="00000000" w:rsidP="007415D1">
            <w:pPr>
              <w:pStyle w:val="TableParagraph"/>
              <w:spacing w:line="22" w:lineRule="atLeast"/>
              <w:ind w:left="101" w:right="97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5- Improve risk prevention and disaster management (Cooperation on risk-prevention and disaster management)</w:t>
            </w:r>
          </w:p>
        </w:tc>
      </w:tr>
      <w:tr w:rsidR="007415D1" w:rsidRPr="007415D1" w14:paraId="35740DDF" w14:textId="77777777" w:rsidTr="007415D1">
        <w:trPr>
          <w:trHeight w:val="595"/>
        </w:trPr>
        <w:tc>
          <w:tcPr>
            <w:tcW w:w="2066" w:type="dxa"/>
          </w:tcPr>
          <w:p w14:paraId="3BED8AF4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Investment priority</w:t>
            </w:r>
          </w:p>
        </w:tc>
        <w:tc>
          <w:tcPr>
            <w:tcW w:w="7674" w:type="dxa"/>
          </w:tcPr>
          <w:p w14:paraId="22F894E0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5/b- Promoting investments to address specific risks, ensuring disaster resilience and developing disaster management systems.</w:t>
            </w:r>
          </w:p>
        </w:tc>
      </w:tr>
      <w:tr w:rsidR="007415D1" w:rsidRPr="007415D1" w14:paraId="6902B571" w14:textId="77777777" w:rsidTr="007415D1">
        <w:trPr>
          <w:trHeight w:val="568"/>
        </w:trPr>
        <w:tc>
          <w:tcPr>
            <w:tcW w:w="2066" w:type="dxa"/>
          </w:tcPr>
          <w:p w14:paraId="4044FC34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Implementation period</w:t>
            </w:r>
          </w:p>
        </w:tc>
        <w:tc>
          <w:tcPr>
            <w:tcW w:w="7674" w:type="dxa"/>
          </w:tcPr>
          <w:p w14:paraId="318C28B7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55 Months (May 01, 2019 – November 30, 2023)</w:t>
            </w:r>
          </w:p>
        </w:tc>
      </w:tr>
      <w:tr w:rsidR="007415D1" w:rsidRPr="007415D1" w14:paraId="074A6F24" w14:textId="77777777">
        <w:trPr>
          <w:trHeight w:val="1017"/>
        </w:trPr>
        <w:tc>
          <w:tcPr>
            <w:tcW w:w="2066" w:type="dxa"/>
          </w:tcPr>
          <w:p w14:paraId="27F79C66" w14:textId="77777777" w:rsidR="00F33144" w:rsidRPr="007415D1" w:rsidRDefault="00F33144">
            <w:pPr>
              <w:pStyle w:val="TableParagraph"/>
              <w:spacing w:before="13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6137C18E" w14:textId="77777777" w:rsidR="00F33144" w:rsidRPr="007415D1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Objective</w:t>
            </w:r>
          </w:p>
        </w:tc>
        <w:tc>
          <w:tcPr>
            <w:tcW w:w="7674" w:type="dxa"/>
          </w:tcPr>
          <w:p w14:paraId="33094FE2" w14:textId="2E506E58" w:rsidR="00F33144" w:rsidRPr="007415D1" w:rsidRDefault="00495483" w:rsidP="007415D1">
            <w:pPr>
              <w:pStyle w:val="TableParagraph"/>
              <w:spacing w:line="22" w:lineRule="atLeast"/>
              <w:ind w:left="101" w:right="9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>
              <w:rPr>
                <w:rFonts w:ascii="Open Sans" w:hAnsi="Open Sans" w:cs="Open Sans"/>
                <w:color w:val="17365D" w:themeColor="text2" w:themeShade="BF"/>
              </w:rPr>
              <w:t>The main objective of the project was to i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>mprov</w:t>
            </w:r>
            <w:r>
              <w:rPr>
                <w:rFonts w:ascii="Open Sans" w:hAnsi="Open Sans" w:cs="Open Sans"/>
                <w:color w:val="17365D" w:themeColor="text2" w:themeShade="BF"/>
              </w:rPr>
              <w:t>e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the cross-border institutional network, interchange, preventive and mitigating capabilities in emergencies, </w:t>
            </w:r>
            <w:r>
              <w:rPr>
                <w:rFonts w:ascii="Open Sans" w:hAnsi="Open Sans" w:cs="Open Sans"/>
                <w:color w:val="17365D" w:themeColor="text2" w:themeShade="BF"/>
              </w:rPr>
              <w:t xml:space="preserve">to 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>tackl</w:t>
            </w:r>
            <w:r>
              <w:rPr>
                <w:rFonts w:ascii="Open Sans" w:hAnsi="Open Sans" w:cs="Open Sans"/>
                <w:color w:val="17365D" w:themeColor="text2" w:themeShade="BF"/>
              </w:rPr>
              <w:t>e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specific risks, </w:t>
            </w:r>
            <w:r>
              <w:rPr>
                <w:rFonts w:ascii="Open Sans" w:hAnsi="Open Sans" w:cs="Open Sans"/>
                <w:color w:val="17365D" w:themeColor="text2" w:themeShade="BF"/>
              </w:rPr>
              <w:t>to help ensure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disaster resilience, and </w:t>
            </w:r>
            <w:r>
              <w:rPr>
                <w:rFonts w:ascii="Open Sans" w:hAnsi="Open Sans" w:cs="Open Sans"/>
                <w:color w:val="17365D" w:themeColor="text2" w:themeShade="BF"/>
              </w:rPr>
              <w:t>to develop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disaster management systems.</w:t>
            </w:r>
          </w:p>
        </w:tc>
      </w:tr>
      <w:tr w:rsidR="007415D1" w:rsidRPr="007415D1" w14:paraId="7F318289" w14:textId="77777777" w:rsidTr="007415D1">
        <w:trPr>
          <w:trHeight w:val="640"/>
        </w:trPr>
        <w:tc>
          <w:tcPr>
            <w:tcW w:w="2066" w:type="dxa"/>
            <w:vMerge w:val="restart"/>
          </w:tcPr>
          <w:p w14:paraId="4D9669FB" w14:textId="77777777" w:rsidR="00F33144" w:rsidRPr="007415D1" w:rsidRDefault="00F33144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1E6C9AFA" w14:textId="77777777" w:rsidR="00F33144" w:rsidRPr="007415D1" w:rsidRDefault="00F33144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478225A9" w14:textId="77777777" w:rsidR="00F33144" w:rsidRPr="007415D1" w:rsidRDefault="00F33144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66EBB11D" w14:textId="77777777" w:rsidR="00F33144" w:rsidRPr="007415D1" w:rsidRDefault="00F33144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7AF694E0" w14:textId="77777777" w:rsidR="00F33144" w:rsidRPr="007415D1" w:rsidRDefault="00F33144">
            <w:pPr>
              <w:pStyle w:val="TableParagraph"/>
              <w:spacing w:before="201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60BA526E" w14:textId="77777777" w:rsidR="00F33144" w:rsidRPr="007415D1" w:rsidRDefault="00000000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Partnership</w:t>
            </w:r>
          </w:p>
        </w:tc>
        <w:tc>
          <w:tcPr>
            <w:tcW w:w="7674" w:type="dxa"/>
          </w:tcPr>
          <w:p w14:paraId="66F925F1" w14:textId="77777777" w:rsidR="00F33144" w:rsidRPr="00237715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237715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Lead Beneficiary: Inter - Community Development Association for the Emergency Situations Management (Romania)</w:t>
            </w:r>
          </w:p>
        </w:tc>
      </w:tr>
      <w:tr w:rsidR="007415D1" w:rsidRPr="007415D1" w14:paraId="7A564748" w14:textId="77777777" w:rsidTr="007415D1">
        <w:trPr>
          <w:trHeight w:val="1882"/>
        </w:trPr>
        <w:tc>
          <w:tcPr>
            <w:tcW w:w="2066" w:type="dxa"/>
            <w:vMerge/>
            <w:tcBorders>
              <w:top w:val="nil"/>
            </w:tcBorders>
          </w:tcPr>
          <w:p w14:paraId="2969C8DE" w14:textId="77777777" w:rsidR="00F33144" w:rsidRPr="007415D1" w:rsidRDefault="00F33144">
            <w:pPr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</w:tc>
        <w:tc>
          <w:tcPr>
            <w:tcW w:w="7674" w:type="dxa"/>
          </w:tcPr>
          <w:p w14:paraId="5A4BB34E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Project Partners:</w:t>
            </w:r>
          </w:p>
          <w:p w14:paraId="252A9C31" w14:textId="77777777" w:rsidR="00F33144" w:rsidRPr="007415D1" w:rsidRDefault="00000000" w:rsidP="007415D1">
            <w:pPr>
              <w:pStyle w:val="TableParagraph"/>
              <w:spacing w:line="22" w:lineRule="atLeast"/>
              <w:ind w:left="101" w:right="3403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PP2: Arad County Council (Romania), PP3: Timis County Council (Romania),</w:t>
            </w:r>
          </w:p>
          <w:p w14:paraId="6EB6CA02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PP4: DKMT Danube-Kris-Mures-Tisa </w:t>
            </w:r>
            <w:proofErr w:type="spellStart"/>
            <w:r w:rsidRPr="007415D1">
              <w:rPr>
                <w:rFonts w:ascii="Open Sans" w:hAnsi="Open Sans" w:cs="Open Sans"/>
                <w:color w:val="17365D" w:themeColor="text2" w:themeShade="BF"/>
              </w:rPr>
              <w:t>Euroregional</w:t>
            </w:r>
            <w:proofErr w:type="spellEnd"/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Development Agency - Nonprofit Public Benefit Limited (Hungary)</w:t>
            </w:r>
          </w:p>
          <w:p w14:paraId="75709021" w14:textId="77777777" w:rsidR="00F33144" w:rsidRPr="007415D1" w:rsidRDefault="00000000" w:rsidP="007415D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PP5: Volunteer Firefighter Association of </w:t>
            </w:r>
            <w:proofErr w:type="spellStart"/>
            <w:r w:rsidRPr="007415D1">
              <w:rPr>
                <w:rFonts w:ascii="Open Sans" w:hAnsi="Open Sans" w:cs="Open Sans"/>
                <w:color w:val="17365D" w:themeColor="text2" w:themeShade="BF"/>
              </w:rPr>
              <w:t>Morahalom</w:t>
            </w:r>
            <w:proofErr w:type="spellEnd"/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City (Hungary)</w:t>
            </w:r>
          </w:p>
        </w:tc>
      </w:tr>
      <w:tr w:rsidR="007415D1" w:rsidRPr="007415D1" w14:paraId="4684661B" w14:textId="77777777" w:rsidTr="007415D1">
        <w:trPr>
          <w:trHeight w:val="343"/>
        </w:trPr>
        <w:tc>
          <w:tcPr>
            <w:tcW w:w="2066" w:type="dxa"/>
          </w:tcPr>
          <w:p w14:paraId="5AF99AC1" w14:textId="77777777" w:rsidR="00F33144" w:rsidRPr="007415D1" w:rsidRDefault="00000000">
            <w:pPr>
              <w:pStyle w:val="TableParagraph"/>
              <w:spacing w:line="306" w:lineRule="exac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TOTAL Budget</w:t>
            </w:r>
          </w:p>
        </w:tc>
        <w:tc>
          <w:tcPr>
            <w:tcW w:w="7674" w:type="dxa"/>
          </w:tcPr>
          <w:p w14:paraId="34B2B2DC" w14:textId="77777777" w:rsidR="00F33144" w:rsidRPr="007415D1" w:rsidRDefault="00000000">
            <w:pPr>
              <w:pStyle w:val="TableParagraph"/>
              <w:spacing w:before="34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€ 2,682,782.50 out of which ERDF € 2,280,365.12</w:t>
            </w:r>
          </w:p>
        </w:tc>
      </w:tr>
      <w:tr w:rsidR="007415D1" w:rsidRPr="007415D1" w14:paraId="5279F94D" w14:textId="77777777">
        <w:trPr>
          <w:trHeight w:val="2997"/>
        </w:trPr>
        <w:tc>
          <w:tcPr>
            <w:tcW w:w="2066" w:type="dxa"/>
          </w:tcPr>
          <w:p w14:paraId="604DFEE3" w14:textId="77777777" w:rsidR="00F33144" w:rsidRPr="007415D1" w:rsidRDefault="00F33144">
            <w:pPr>
              <w:pStyle w:val="TableParagraph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2B382594" w14:textId="77777777" w:rsidR="00F33144" w:rsidRPr="007415D1" w:rsidRDefault="00F33144">
            <w:pPr>
              <w:pStyle w:val="TableParagraph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240673D0" w14:textId="77777777" w:rsidR="00F33144" w:rsidRPr="007415D1" w:rsidRDefault="00F33144">
            <w:pPr>
              <w:pStyle w:val="TableParagraph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2695AC42" w14:textId="77777777" w:rsidR="00F33144" w:rsidRPr="007415D1" w:rsidRDefault="00F33144">
            <w:pPr>
              <w:pStyle w:val="TableParagraph"/>
              <w:spacing w:before="219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56FE3492" w14:textId="77777777" w:rsidR="00F33144" w:rsidRPr="007415D1" w:rsidRDefault="00000000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Summary</w:t>
            </w:r>
          </w:p>
        </w:tc>
        <w:tc>
          <w:tcPr>
            <w:tcW w:w="7674" w:type="dxa"/>
          </w:tcPr>
          <w:p w14:paraId="7133A1A6" w14:textId="2AD0BB36" w:rsidR="00F33144" w:rsidRPr="007415D1" w:rsidRDefault="00000000" w:rsidP="007415D1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The ROHU-72 project aim</w:t>
            </w:r>
            <w:r w:rsidR="00237715">
              <w:rPr>
                <w:rFonts w:ascii="Open Sans" w:hAnsi="Open Sans" w:cs="Open Sans"/>
                <w:color w:val="17365D" w:themeColor="text2" w:themeShade="BF"/>
              </w:rPr>
              <w:t>ed</w:t>
            </w: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to increase the capacity for cross-border intervention in risk situations, strengthen institutional capacity</w:t>
            </w:r>
            <w:r w:rsidR="007415D1">
              <w:rPr>
                <w:rFonts w:ascii="Open Sans" w:hAnsi="Open Sans" w:cs="Open Sans"/>
                <w:color w:val="17365D" w:themeColor="text2" w:themeShade="BF"/>
              </w:rPr>
              <w:t>,</w:t>
            </w: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and i</w:t>
            </w:r>
            <w:r w:rsidR="00237715">
              <w:rPr>
                <w:rFonts w:ascii="Open Sans" w:hAnsi="Open Sans" w:cs="Open Sans"/>
                <w:color w:val="17365D" w:themeColor="text2" w:themeShade="BF"/>
              </w:rPr>
              <w:t>mprove</w:t>
            </w: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the skills of citizens and intervention staff, professional and voluntary, in addressing </w:t>
            </w:r>
            <w:r w:rsidR="00237715">
              <w:rPr>
                <w:rFonts w:ascii="Open Sans" w:hAnsi="Open Sans" w:cs="Open Sans"/>
                <w:color w:val="17365D" w:themeColor="text2" w:themeShade="BF"/>
              </w:rPr>
              <w:t xml:space="preserve">different </w:t>
            </w:r>
            <w:r w:rsidRPr="007415D1">
              <w:rPr>
                <w:rFonts w:ascii="Open Sans" w:hAnsi="Open Sans" w:cs="Open Sans"/>
                <w:color w:val="17365D" w:themeColor="text2" w:themeShade="BF"/>
              </w:rPr>
              <w:t>types of emergencies.</w:t>
            </w:r>
          </w:p>
          <w:p w14:paraId="64CD4AA0" w14:textId="77777777" w:rsidR="00F33144" w:rsidRPr="007415D1" w:rsidRDefault="00F33144" w:rsidP="007415D1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32B4B691" w14:textId="0BAA9507" w:rsidR="00F33144" w:rsidRPr="00B1285E" w:rsidRDefault="00000000" w:rsidP="007415D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B1285E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The main activities </w:t>
            </w:r>
            <w:r w:rsidR="006649BB" w:rsidRPr="00B1285E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implemented</w:t>
            </w:r>
            <w:r w:rsidRPr="00B1285E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:</w:t>
            </w:r>
          </w:p>
          <w:p w14:paraId="59CC955E" w14:textId="77777777" w:rsidR="00F33144" w:rsidRPr="007415D1" w:rsidRDefault="00000000" w:rsidP="007415D1">
            <w:pPr>
              <w:pStyle w:val="TableParagraph"/>
              <w:numPr>
                <w:ilvl w:val="0"/>
                <w:numId w:val="4"/>
              </w:numPr>
              <w:tabs>
                <w:tab w:val="left" w:pos="754"/>
              </w:tabs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Acquisition of specific operating and intervention equipment:</w:t>
            </w:r>
          </w:p>
          <w:p w14:paraId="64316204" w14:textId="77777777" w:rsidR="007415D1" w:rsidRPr="007415D1" w:rsidRDefault="00000000" w:rsidP="007415D1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LB - 1 operational vehicle,</w:t>
            </w:r>
          </w:p>
          <w:p w14:paraId="08B931F3" w14:textId="77777777" w:rsidR="00F33144" w:rsidRDefault="00000000" w:rsidP="007415D1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PP2 - 3 emergency care ambulances, 1 firefighting vehicle with water and foam, 19 intensive care beds, 50 </w:t>
            </w:r>
            <w:proofErr w:type="spellStart"/>
            <w:r w:rsidRPr="007415D1">
              <w:rPr>
                <w:rFonts w:ascii="Open Sans" w:hAnsi="Open Sans" w:cs="Open Sans"/>
                <w:color w:val="17365D" w:themeColor="text2" w:themeShade="BF"/>
              </w:rPr>
              <w:t>injectomats</w:t>
            </w:r>
            <w:proofErr w:type="spellEnd"/>
            <w:r w:rsidRPr="007415D1">
              <w:rPr>
                <w:rFonts w:ascii="Open Sans" w:hAnsi="Open Sans" w:cs="Open Sans"/>
                <w:color w:val="17365D" w:themeColor="text2" w:themeShade="BF"/>
              </w:rPr>
              <w:t>, 35</w:t>
            </w:r>
            <w:r w:rsidR="007415D1" w:rsidRPr="007415D1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proofErr w:type="spellStart"/>
            <w:r w:rsidR="007415D1" w:rsidRPr="007415D1">
              <w:rPr>
                <w:rFonts w:ascii="Open Sans" w:hAnsi="Open Sans" w:cs="Open Sans"/>
                <w:color w:val="17365D" w:themeColor="text2" w:themeShade="BF"/>
              </w:rPr>
              <w:t>infusomats</w:t>
            </w:r>
            <w:proofErr w:type="spellEnd"/>
            <w:r w:rsidR="007415D1" w:rsidRPr="007415D1">
              <w:rPr>
                <w:rFonts w:ascii="Open Sans" w:hAnsi="Open Sans" w:cs="Open Sans"/>
                <w:color w:val="17365D" w:themeColor="text2" w:themeShade="BF"/>
              </w:rPr>
              <w:t>, 2 transport ventilators, monitors for vital functions, 3 central monitoring stations, 5 transport monitors,2 stretchers for transport of patients, 5 portable pulse oximeters, 2 defibrillators, one difficult intubation and secretion aspirator set, portable ECG machine, 25 perfusion stands, 2 medicine cabinets</w:t>
            </w:r>
          </w:p>
          <w:p w14:paraId="347630F2" w14:textId="77777777" w:rsidR="007415D1" w:rsidRPr="007415D1" w:rsidRDefault="007415D1" w:rsidP="007415D1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PP3 - 3 complex intervention vehicles</w:t>
            </w:r>
          </w:p>
          <w:p w14:paraId="2AD5430C" w14:textId="1126C1E3" w:rsidR="007415D1" w:rsidRPr="007415D1" w:rsidRDefault="007415D1" w:rsidP="007415D1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PP5 - 1 piece of a universal car with additional devices</w:t>
            </w:r>
          </w:p>
        </w:tc>
      </w:tr>
    </w:tbl>
    <w:p w14:paraId="2C5DE5ED" w14:textId="77777777" w:rsidR="00F33144" w:rsidRPr="007415D1" w:rsidRDefault="00F33144">
      <w:pPr>
        <w:pStyle w:val="TableParagraph"/>
        <w:spacing w:line="290" w:lineRule="atLeast"/>
        <w:rPr>
          <w:color w:val="17365D" w:themeColor="text2" w:themeShade="BF"/>
        </w:rPr>
        <w:sectPr w:rsidR="00F33144" w:rsidRPr="007415D1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294A7E9B" w14:textId="77777777" w:rsidR="00F33144" w:rsidRPr="007415D1" w:rsidRDefault="00F33144">
      <w:pPr>
        <w:pStyle w:val="BodyText"/>
        <w:spacing w:before="61"/>
        <w:rPr>
          <w:rFonts w:ascii="Times New Roman"/>
          <w:color w:val="17365D" w:themeColor="text2" w:themeShade="BF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674"/>
      </w:tblGrid>
      <w:tr w:rsidR="007415D1" w:rsidRPr="007415D1" w14:paraId="6C2386FE" w14:textId="77777777" w:rsidTr="00237715">
        <w:trPr>
          <w:trHeight w:val="6175"/>
        </w:trPr>
        <w:tc>
          <w:tcPr>
            <w:tcW w:w="2066" w:type="dxa"/>
          </w:tcPr>
          <w:p w14:paraId="29E7BB0E" w14:textId="77777777" w:rsidR="00F33144" w:rsidRPr="007415D1" w:rsidRDefault="00F33144" w:rsidP="007415D1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</w:tc>
        <w:tc>
          <w:tcPr>
            <w:tcW w:w="7674" w:type="dxa"/>
          </w:tcPr>
          <w:p w14:paraId="7B425C02" w14:textId="77777777" w:rsidR="00F33144" w:rsidRPr="007415D1" w:rsidRDefault="00000000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2" w:lineRule="atLeast"/>
              <w:ind w:left="361" w:right="95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Developing a common curriculum for pupils for 3 different age groups (6-10, 10-14, 14-18) having as a theme the behavior in different types of emergency situations</w:t>
            </w:r>
          </w:p>
          <w:p w14:paraId="3BD0B5DB" w14:textId="77777777" w:rsidR="00F33144" w:rsidRPr="007415D1" w:rsidRDefault="00000000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2" w:lineRule="atLeast"/>
              <w:ind w:left="360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Organizing camps and joint competitions on emergencies</w:t>
            </w:r>
          </w:p>
          <w:p w14:paraId="50DD7996" w14:textId="77777777" w:rsidR="00F33144" w:rsidRPr="007415D1" w:rsidRDefault="00000000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2" w:lineRule="atLeast"/>
              <w:ind w:left="361" w:right="95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Organizing joint training for specialized and volunteer staff (Training 1 - railway and road accidents intervention in </w:t>
            </w:r>
            <w:proofErr w:type="spellStart"/>
            <w:r w:rsidRPr="007415D1">
              <w:rPr>
                <w:rFonts w:ascii="Open Sans" w:hAnsi="Open Sans" w:cs="Open Sans"/>
                <w:color w:val="17365D" w:themeColor="text2" w:themeShade="BF"/>
              </w:rPr>
              <w:t>Timișoara</w:t>
            </w:r>
            <w:proofErr w:type="spellEnd"/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for 5 days and Training 2 - intervention management in </w:t>
            </w:r>
            <w:proofErr w:type="spellStart"/>
            <w:r w:rsidRPr="007415D1">
              <w:rPr>
                <w:rFonts w:ascii="Open Sans" w:hAnsi="Open Sans" w:cs="Open Sans"/>
                <w:color w:val="17365D" w:themeColor="text2" w:themeShade="BF"/>
              </w:rPr>
              <w:t>Timișoara</w:t>
            </w:r>
            <w:proofErr w:type="spellEnd"/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for 5 days)</w:t>
            </w:r>
          </w:p>
          <w:p w14:paraId="7B38C3B7" w14:textId="2B84FC60" w:rsidR="00F33144" w:rsidRPr="00237715" w:rsidRDefault="00000000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2" w:lineRule="atLeast"/>
              <w:ind w:left="360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Organizing 3 teacher training in </w:t>
            </w:r>
            <w:proofErr w:type="spellStart"/>
            <w:r w:rsidRPr="007415D1">
              <w:rPr>
                <w:rFonts w:ascii="Open Sans" w:hAnsi="Open Sans" w:cs="Open Sans"/>
                <w:color w:val="17365D" w:themeColor="text2" w:themeShade="BF"/>
              </w:rPr>
              <w:t>Csongrád</w:t>
            </w:r>
            <w:proofErr w:type="spellEnd"/>
            <w:r w:rsidRPr="007415D1">
              <w:rPr>
                <w:rFonts w:ascii="Open Sans" w:hAnsi="Open Sans" w:cs="Open Sans"/>
                <w:color w:val="17365D" w:themeColor="text2" w:themeShade="BF"/>
              </w:rPr>
              <w:t>-Csanád (1), Arad (1), and</w:t>
            </w:r>
            <w:r w:rsidR="00237715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237715">
              <w:rPr>
                <w:rFonts w:ascii="Open Sans" w:hAnsi="Open Sans" w:cs="Open Sans"/>
                <w:color w:val="17365D" w:themeColor="text2" w:themeShade="BF"/>
              </w:rPr>
              <w:t>Timis (1) counties in order to present and demonstrate the curricula for teachers who will organize special courses in schools in the field of risk prevention and emergency situations</w:t>
            </w:r>
          </w:p>
          <w:p w14:paraId="1A0AE8EB" w14:textId="7A857E20" w:rsidR="00F33144" w:rsidRPr="00237715" w:rsidRDefault="00000000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2" w:lineRule="atLeast"/>
              <w:ind w:left="360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Organizing raising awareness days for citizens related to optimum</w:t>
            </w:r>
            <w:r w:rsidR="00237715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237715">
              <w:rPr>
                <w:rFonts w:ascii="Open Sans" w:hAnsi="Open Sans" w:cs="Open Sans"/>
                <w:color w:val="17365D" w:themeColor="text2" w:themeShade="BF"/>
              </w:rPr>
              <w:t>behavior in case of emergency situations – 15 days</w:t>
            </w:r>
          </w:p>
          <w:p w14:paraId="2F9636F8" w14:textId="77777777" w:rsidR="00F33144" w:rsidRPr="007415D1" w:rsidRDefault="00000000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2" w:lineRule="atLeast"/>
              <w:ind w:left="361" w:right="95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Elaborating the Risk Management Strategy based on the analyses carried out and the conclusions drawn in the 6 organized workshops</w:t>
            </w:r>
          </w:p>
          <w:p w14:paraId="30C79964" w14:textId="763E7B60" w:rsidR="00F33144" w:rsidRPr="007415D1" w:rsidRDefault="00237715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2" w:lineRule="atLeast"/>
              <w:ind w:left="361" w:right="93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>
              <w:rPr>
                <w:rFonts w:ascii="Open Sans" w:hAnsi="Open Sans" w:cs="Open Sans"/>
                <w:color w:val="17365D" w:themeColor="text2" w:themeShade="BF"/>
              </w:rPr>
              <w:t>A 2-day-long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seminar and practice organized in </w:t>
            </w:r>
            <w:proofErr w:type="spellStart"/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>Mórahalom</w:t>
            </w:r>
            <w:proofErr w:type="spellEnd"/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for fire brigades from the 3 counties. </w:t>
            </w:r>
            <w:r>
              <w:rPr>
                <w:rFonts w:ascii="Open Sans" w:hAnsi="Open Sans" w:cs="Open Sans"/>
                <w:color w:val="17365D" w:themeColor="text2" w:themeShade="BF"/>
              </w:rPr>
              <w:t>The seminar and practice aim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to exchange knowledge about fire </w:t>
            </w:r>
            <w:r>
              <w:rPr>
                <w:rFonts w:ascii="Open Sans" w:hAnsi="Open Sans" w:cs="Open Sans"/>
                <w:color w:val="17365D" w:themeColor="text2" w:themeShade="BF"/>
              </w:rPr>
              <w:t>brigade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operations in Romania and Hungary, and also </w:t>
            </w:r>
            <w:r>
              <w:rPr>
                <w:rFonts w:ascii="Open Sans" w:hAnsi="Open Sans" w:cs="Open Sans"/>
                <w:color w:val="17365D" w:themeColor="text2" w:themeShade="BF"/>
              </w:rPr>
              <w:t>to analyze</w:t>
            </w:r>
            <w:r w:rsidR="00000000" w:rsidRPr="007415D1">
              <w:rPr>
                <w:rFonts w:ascii="Open Sans" w:hAnsi="Open Sans" w:cs="Open Sans"/>
                <w:color w:val="17365D" w:themeColor="text2" w:themeShade="BF"/>
              </w:rPr>
              <w:t xml:space="preserve"> the legal and financial background</w:t>
            </w:r>
          </w:p>
          <w:p w14:paraId="114701FA" w14:textId="7111511D" w:rsidR="00F33144" w:rsidRPr="00237715" w:rsidRDefault="00000000" w:rsidP="0023771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2" w:lineRule="atLeast"/>
              <w:ind w:left="360" w:hanging="211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Organizing a 2-day study tour in Romania (1 day in Arad County, 1</w:t>
            </w:r>
            <w:r w:rsidR="00237715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237715">
              <w:rPr>
                <w:rFonts w:ascii="Open Sans" w:hAnsi="Open Sans" w:cs="Open Sans"/>
                <w:color w:val="17365D" w:themeColor="text2" w:themeShade="BF"/>
              </w:rPr>
              <w:t>day in Timis County) in order to investigate and test the new equipment</w:t>
            </w:r>
          </w:p>
        </w:tc>
      </w:tr>
      <w:tr w:rsidR="007415D1" w:rsidRPr="007415D1" w14:paraId="3B0ABF04" w14:textId="77777777" w:rsidTr="00752DF3">
        <w:trPr>
          <w:trHeight w:val="580"/>
        </w:trPr>
        <w:tc>
          <w:tcPr>
            <w:tcW w:w="2066" w:type="dxa"/>
            <w:vAlign w:val="center"/>
          </w:tcPr>
          <w:p w14:paraId="29FEC0CD" w14:textId="08DDF39A" w:rsidR="00F33144" w:rsidRPr="00237715" w:rsidRDefault="00000000" w:rsidP="00752DF3">
            <w:pPr>
              <w:pStyle w:val="TableParagraph"/>
              <w:spacing w:line="22" w:lineRule="atLeast"/>
              <w:ind w:left="107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237715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Main </w:t>
            </w:r>
            <w:r w:rsidR="00237715" w:rsidRPr="00237715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outcomes</w:t>
            </w:r>
          </w:p>
        </w:tc>
        <w:tc>
          <w:tcPr>
            <w:tcW w:w="7674" w:type="dxa"/>
          </w:tcPr>
          <w:p w14:paraId="2753BF01" w14:textId="77777777" w:rsidR="00752DF3" w:rsidRDefault="00752DF3" w:rsidP="00EA3F3A">
            <w:pPr>
              <w:pStyle w:val="TableParagraph"/>
              <w:tabs>
                <w:tab w:val="left" w:pos="23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52DF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The main deliverables:</w:t>
            </w:r>
          </w:p>
          <w:p w14:paraId="0C648B04" w14:textId="78CB38EC" w:rsidR="00EA3F3A" w:rsidRPr="00EA3F3A" w:rsidRDefault="00EA3F3A" w:rsidP="00EA3F3A">
            <w:pPr>
              <w:pStyle w:val="TableParagraph"/>
              <w:tabs>
                <w:tab w:val="left" w:pos="23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  <w:lang w:val="en-GB"/>
              </w:rPr>
            </w:pP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1) </w:t>
            </w:r>
            <w:r>
              <w:rPr>
                <w:rFonts w:ascii="Open Sans" w:hAnsi="Open Sans" w:cs="Open Sans"/>
                <w:color w:val="17365D" w:themeColor="text2" w:themeShade="BF"/>
                <w:lang w:val="en-GB"/>
              </w:rPr>
              <w:t>T</w:t>
            </w: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he equipment for emergency intervention in Timis County (3 complex intervention vehicles), Arad County (3 emergency care ambulance,1 firefighting vehicle,1 bus for the transport of personnel, 19 intensive care beds, 50 </w:t>
            </w:r>
            <w:proofErr w:type="spellStart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>injectomats</w:t>
            </w:r>
            <w:proofErr w:type="spellEnd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, 35 </w:t>
            </w:r>
            <w:proofErr w:type="spellStart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>infusomats</w:t>
            </w:r>
            <w:proofErr w:type="spellEnd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>, 2 transport ventilators, 8 monitors for vital functions, 3 central monitoring stations, 5 transport monitors, 2 stretchers for transport of patients (economic), 2 stretchers for transport of patients (premium), 2 defibrillators, 1 difficult intubation and secretion aspirator set, 1 portable EKG machine, 25 perfusion stands, 2 medicine cabinets) and -</w:t>
            </w:r>
            <w:proofErr w:type="spellStart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>Csongrad</w:t>
            </w:r>
            <w:proofErr w:type="spellEnd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County (universal car with additional devices helping and providing multi-functional disaster management missions and applications);</w:t>
            </w:r>
          </w:p>
          <w:p w14:paraId="0835D72C" w14:textId="552BC490" w:rsidR="00EA3F3A" w:rsidRPr="00EA3F3A" w:rsidRDefault="00EA3F3A" w:rsidP="00EA3F3A">
            <w:pPr>
              <w:pStyle w:val="TableParagraph"/>
              <w:tabs>
                <w:tab w:val="left" w:pos="23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  <w:lang w:val="en-GB"/>
              </w:rPr>
            </w:pP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>2) Joint education activities organized</w:t>
            </w:r>
            <w:r>
              <w:rPr>
                <w:rFonts w:ascii="Open Sans" w:hAnsi="Open Sans" w:cs="Open Sans"/>
                <w:color w:val="17365D" w:themeColor="text2" w:themeShade="BF"/>
                <w:lang w:val="en-GB"/>
              </w:rPr>
              <w:t>,</w:t>
            </w: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as follows: 3 trainings in the field of risk prevention and emergency situations, 4 Joint emergency situations competitions and camp for pupils and 2 Joint trainings for specialized and volunteer staff in emergency situations) for 574 participants;</w:t>
            </w:r>
          </w:p>
          <w:p w14:paraId="148C67BD" w14:textId="483F2C2A" w:rsidR="00EA3F3A" w:rsidRPr="00EA3F3A" w:rsidRDefault="00EA3F3A" w:rsidP="00EA3F3A">
            <w:pPr>
              <w:pStyle w:val="TableParagraph"/>
              <w:tabs>
                <w:tab w:val="left" w:pos="23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  <w:lang w:val="en-GB"/>
              </w:rPr>
            </w:pP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3) 5 Joint exchange of experiences (Joint seminars for fire brigades from the 3 counties, study tour in Romania </w:t>
            </w:r>
            <w:r>
              <w:rPr>
                <w:rFonts w:ascii="Open Sans" w:hAnsi="Open Sans" w:cs="Open Sans"/>
                <w:color w:val="17365D" w:themeColor="text2" w:themeShade="BF"/>
                <w:lang w:val="en-GB"/>
              </w:rPr>
              <w:t>to</w:t>
            </w: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investigate and test the new equipment, joint tactical exercises for operational brigades, raising awareness days for citizens related to optimum behavio</w:t>
            </w:r>
            <w:r>
              <w:rPr>
                <w:rFonts w:ascii="Open Sans" w:hAnsi="Open Sans" w:cs="Open Sans"/>
                <w:color w:val="17365D" w:themeColor="text2" w:themeShade="BF"/>
                <w:lang w:val="en-GB"/>
              </w:rPr>
              <w:t>u</w:t>
            </w: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r in case of </w:t>
            </w:r>
            <w:r w:rsid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>emergencies</w:t>
            </w: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>) for 1990 participants;</w:t>
            </w:r>
          </w:p>
          <w:p w14:paraId="69746C57" w14:textId="4373F737" w:rsidR="00EA3F3A" w:rsidRPr="00EA3F3A" w:rsidRDefault="00EA3F3A" w:rsidP="00EA3F3A">
            <w:pPr>
              <w:pStyle w:val="TableParagraph"/>
              <w:tabs>
                <w:tab w:val="left" w:pos="23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  <w:lang w:val="en-GB"/>
              </w:rPr>
            </w:pP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lastRenderedPageBreak/>
              <w:t xml:space="preserve">4) 1 Joint formulation of </w:t>
            </w:r>
            <w:r>
              <w:rPr>
                <w:rFonts w:ascii="Open Sans" w:hAnsi="Open Sans" w:cs="Open Sans"/>
                <w:color w:val="17365D" w:themeColor="text2" w:themeShade="BF"/>
                <w:lang w:val="en-GB"/>
              </w:rPr>
              <w:t>Risk</w:t>
            </w:r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Management Strategy (how to develop the cross-border cooperation among the institutions responsible for risk management in Arad, </w:t>
            </w:r>
            <w:proofErr w:type="spellStart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>Csongrád</w:t>
            </w:r>
            <w:proofErr w:type="spellEnd"/>
            <w:r w:rsidRPr="00EA3F3A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and Timis counties) through CB workshops attended by 252 participants.</w:t>
            </w:r>
          </w:p>
          <w:p w14:paraId="618087D3" w14:textId="77777777" w:rsidR="00EA3F3A" w:rsidRDefault="00EA3F3A" w:rsidP="00EA3F3A">
            <w:pPr>
              <w:pStyle w:val="TableParagraph"/>
              <w:tabs>
                <w:tab w:val="left" w:pos="23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2ACB48D2" w14:textId="2A23D3FC" w:rsidR="007415D1" w:rsidRPr="00752DF3" w:rsidRDefault="00000000" w:rsidP="007415D1">
            <w:pPr>
              <w:pStyle w:val="TableParagraph"/>
              <w:tabs>
                <w:tab w:val="left" w:pos="23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52DF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The main results:</w:t>
            </w:r>
            <w:r w:rsidR="007415D1" w:rsidRPr="00752DF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 </w:t>
            </w:r>
          </w:p>
          <w:p w14:paraId="7EE09508" w14:textId="7993884B" w:rsidR="00752DF3" w:rsidRPr="00752DF3" w:rsidRDefault="00752DF3" w:rsidP="00752DF3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2" w:lineRule="atLeast"/>
              <w:ind w:right="97" w:firstLine="0"/>
              <w:jc w:val="both"/>
              <w:rPr>
                <w:rFonts w:ascii="Open Sans" w:hAnsi="Open Sans" w:cs="Open Sans"/>
                <w:color w:val="17365D" w:themeColor="text2" w:themeShade="BF"/>
                <w:lang w:val="en-GB"/>
              </w:rPr>
            </w:pPr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Improved risk-prevention and disaster management of the emergency services in Timis County, Arad County and </w:t>
            </w:r>
            <w:proofErr w:type="spellStart"/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>Csongrad</w:t>
            </w:r>
            <w:proofErr w:type="spellEnd"/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County achieved through the special intervention equipment purchased. </w:t>
            </w:r>
          </w:p>
          <w:p w14:paraId="08C2584F" w14:textId="6CA285FF" w:rsidR="00752DF3" w:rsidRPr="00752DF3" w:rsidRDefault="00752DF3" w:rsidP="00752DF3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2" w:lineRule="atLeast"/>
              <w:ind w:right="97" w:firstLine="0"/>
              <w:jc w:val="both"/>
              <w:rPr>
                <w:rFonts w:ascii="Open Sans" w:hAnsi="Open Sans" w:cs="Open Sans"/>
                <w:color w:val="17365D" w:themeColor="text2" w:themeShade="BF"/>
                <w:lang w:val="en-GB"/>
              </w:rPr>
            </w:pPr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Improved operational capacity of the brigades from the 3 counties through the 2 daylong seminar and practice in </w:t>
            </w:r>
            <w:proofErr w:type="spellStart"/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>Mórahalom</w:t>
            </w:r>
            <w:proofErr w:type="spellEnd"/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, 2-days study-tour in Romania and 2 Joint tactical exercise organized. </w:t>
            </w:r>
          </w:p>
          <w:p w14:paraId="22C280AE" w14:textId="189D1227" w:rsidR="00752DF3" w:rsidRPr="00752DF3" w:rsidRDefault="00752DF3" w:rsidP="00752DF3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2" w:lineRule="atLeast"/>
              <w:ind w:right="97" w:firstLine="0"/>
              <w:jc w:val="both"/>
              <w:rPr>
                <w:rFonts w:ascii="Open Sans" w:hAnsi="Open Sans" w:cs="Open Sans"/>
                <w:color w:val="17365D" w:themeColor="text2" w:themeShade="BF"/>
                <w:lang w:val="en-GB"/>
              </w:rPr>
            </w:pPr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Increased awareness of the population from the Arad, Timis and </w:t>
            </w:r>
            <w:proofErr w:type="spellStart"/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>Csongrad</w:t>
            </w:r>
            <w:proofErr w:type="spellEnd"/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County in risk prevention management through </w:t>
            </w:r>
            <w:r>
              <w:rPr>
                <w:rFonts w:ascii="Open Sans" w:hAnsi="Open Sans" w:cs="Open Sans"/>
                <w:color w:val="17365D" w:themeColor="text2" w:themeShade="BF"/>
                <w:lang w:val="en-GB"/>
              </w:rPr>
              <w:t>awareness-raising</w:t>
            </w:r>
            <w:r w:rsidRPr="00752DF3">
              <w:rPr>
                <w:rFonts w:ascii="Open Sans" w:hAnsi="Open Sans" w:cs="Open Sans"/>
                <w:color w:val="17365D" w:themeColor="text2" w:themeShade="BF"/>
                <w:lang w:val="en-GB"/>
              </w:rPr>
              <w:t xml:space="preserve"> campaigns organized.</w:t>
            </w:r>
          </w:p>
          <w:p w14:paraId="04EEED3E" w14:textId="77777777" w:rsidR="00237715" w:rsidRDefault="00237715" w:rsidP="00237715">
            <w:pPr>
              <w:pStyle w:val="TableParagraph"/>
              <w:tabs>
                <w:tab w:val="left" w:pos="327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50080B7E" w14:textId="48F795E8" w:rsidR="00752DF3" w:rsidRPr="00752DF3" w:rsidRDefault="00752DF3" w:rsidP="00237715">
            <w:pPr>
              <w:pStyle w:val="TableParagraph"/>
              <w:tabs>
                <w:tab w:val="left" w:pos="327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752DF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The main indicator:</w:t>
            </w:r>
          </w:p>
          <w:p w14:paraId="0798B205" w14:textId="77777777" w:rsidR="00237715" w:rsidRDefault="00237715" w:rsidP="00752DF3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7415D1">
              <w:rPr>
                <w:rFonts w:ascii="Open Sans" w:hAnsi="Open Sans" w:cs="Open Sans"/>
                <w:color w:val="17365D" w:themeColor="text2" w:themeShade="BF"/>
              </w:rPr>
              <w:t>The Programme Output Indicator is 5/b 1 “Population safeguarded by improved emergency response services”</w:t>
            </w:r>
            <w:r w:rsidR="00752DF3">
              <w:rPr>
                <w:rFonts w:ascii="Open Sans" w:hAnsi="Open Sans" w:cs="Open Sans"/>
                <w:color w:val="17365D" w:themeColor="text2" w:themeShade="BF"/>
              </w:rPr>
              <w:t>.</w:t>
            </w:r>
            <w:r w:rsidRPr="007415D1">
              <w:rPr>
                <w:rFonts w:ascii="Open Sans" w:hAnsi="Open Sans" w:cs="Open Sans"/>
                <w:color w:val="17365D" w:themeColor="text2" w:themeShade="BF"/>
              </w:rPr>
              <w:t xml:space="preserve"> Through ROHU-72, a number of </w:t>
            </w:r>
            <w:r w:rsidR="006649BB" w:rsidRPr="006649BB">
              <w:rPr>
                <w:rFonts w:ascii="Open Sans" w:hAnsi="Open Sans" w:cs="Open Sans"/>
                <w:color w:val="17365D" w:themeColor="text2" w:themeShade="BF"/>
              </w:rPr>
              <w:t>1,245,760</w:t>
            </w:r>
            <w:r w:rsidR="006649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415D1">
              <w:rPr>
                <w:rFonts w:ascii="Open Sans" w:hAnsi="Open Sans" w:cs="Open Sans"/>
                <w:color w:val="17365D" w:themeColor="text2" w:themeShade="BF"/>
              </w:rPr>
              <w:t>citizens from the 3 partner counties benefit from increased life</w:t>
            </w:r>
            <w:r w:rsidR="00752DF3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7415D1">
              <w:rPr>
                <w:rFonts w:ascii="Open Sans" w:hAnsi="Open Sans" w:cs="Open Sans"/>
                <w:color w:val="17365D" w:themeColor="text2" w:themeShade="BF"/>
              </w:rPr>
              <w:t>safeguard.</w:t>
            </w:r>
          </w:p>
          <w:p w14:paraId="6C9D0BF6" w14:textId="77777777" w:rsidR="006649BB" w:rsidRDefault="006649BB" w:rsidP="00752DF3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439EDDD4" w14:textId="6363E46E" w:rsidR="006649BB" w:rsidRPr="006649BB" w:rsidRDefault="006649BB" w:rsidP="006649BB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hyperlink r:id="rId9" w:history="1">
              <w:r w:rsidRPr="00EF7E0B">
                <w:rPr>
                  <w:rStyle w:val="Hyperlink"/>
                  <w:rFonts w:ascii="Open Sans" w:hAnsi="Open Sans" w:cs="Open Sans"/>
                  <w:color w:val="0000BF" w:themeColor="hyperlink" w:themeShade="BF"/>
                </w:rPr>
                <w:t>http://adivest.ro/</w:t>
              </w:r>
            </w:hyperlink>
            <w:r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</w:p>
          <w:p w14:paraId="40B0E263" w14:textId="21EE03A2" w:rsidR="006649BB" w:rsidRPr="006649BB" w:rsidRDefault="006649BB" w:rsidP="006649BB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hyperlink r:id="rId10" w:history="1">
              <w:r w:rsidRPr="00EF7E0B">
                <w:rPr>
                  <w:rStyle w:val="Hyperlink"/>
                  <w:rFonts w:ascii="Open Sans" w:hAnsi="Open Sans" w:cs="Open Sans"/>
                  <w:color w:val="0000BF" w:themeColor="hyperlink" w:themeShade="BF"/>
                </w:rPr>
                <w:t>https://www.cjtimis.ro/activitate/proiecte/proiecte-europene/</w:t>
              </w:r>
            </w:hyperlink>
            <w:r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</w:p>
          <w:p w14:paraId="2D373C22" w14:textId="05028270" w:rsidR="006649BB" w:rsidRPr="007415D1" w:rsidRDefault="006649BB" w:rsidP="006649BB">
            <w:pPr>
              <w:pStyle w:val="TableParagraph"/>
              <w:spacing w:line="22" w:lineRule="atLeast"/>
              <w:ind w:right="95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hyperlink r:id="rId11" w:history="1">
              <w:r w:rsidRPr="00EF7E0B">
                <w:rPr>
                  <w:rStyle w:val="Hyperlink"/>
                  <w:rFonts w:ascii="Open Sans" w:hAnsi="Open Sans" w:cs="Open Sans"/>
                  <w:color w:val="0000BF" w:themeColor="hyperlink" w:themeShade="BF"/>
                </w:rPr>
                <w:t>http://adivest.ro/wp-content/uploads/2011/03/rohu72-PREZENTARE.pdf</w:t>
              </w:r>
            </w:hyperlink>
            <w:r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</w:p>
        </w:tc>
      </w:tr>
    </w:tbl>
    <w:p w14:paraId="279713D5" w14:textId="77777777" w:rsidR="002D3D90" w:rsidRPr="007415D1" w:rsidRDefault="002D3D90" w:rsidP="007415D1">
      <w:pPr>
        <w:rPr>
          <w:color w:val="17365D" w:themeColor="text2" w:themeShade="BF"/>
        </w:rPr>
      </w:pPr>
    </w:p>
    <w:sectPr w:rsidR="002D3D90" w:rsidRPr="007415D1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9A03" w14:textId="77777777" w:rsidR="002D3D90" w:rsidRDefault="002D3D90">
      <w:r>
        <w:separator/>
      </w:r>
    </w:p>
  </w:endnote>
  <w:endnote w:type="continuationSeparator" w:id="0">
    <w:p w14:paraId="0BFBE961" w14:textId="77777777" w:rsidR="002D3D90" w:rsidRDefault="002D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DAC0" w14:textId="77777777" w:rsidR="00F3314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EB5091F" wp14:editId="022BEC0B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9275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2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D732F" w14:textId="77777777" w:rsidR="00F33144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5091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5pt;height:15.6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" filled="f" stroked="f">
              <v:textbox inset="0,0,0,0">
                <w:txbxContent>
                  <w:p w14:paraId="498D732F" w14:textId="77777777" w:rsidR="00F33144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E5395"/>
                      </w:rPr>
                      <w:t>Partnership</w:t>
                    </w:r>
                    <w:r>
                      <w:rPr>
                        <w:color w:val="2E5395"/>
                        <w:spacing w:val="35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for</w:t>
                    </w:r>
                    <w:r>
                      <w:rPr>
                        <w:color w:val="2E5395"/>
                        <w:spacing w:val="35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a</w:t>
                    </w:r>
                    <w:r>
                      <w:rPr>
                        <w:color w:val="2E5395"/>
                        <w:spacing w:val="3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better</w:t>
                    </w:r>
                    <w:r>
                      <w:rPr>
                        <w:color w:val="2E5395"/>
                        <w:spacing w:val="35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6A0B062F" wp14:editId="43F92F04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33500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9E2A4" w14:textId="77777777" w:rsidR="00F33144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B062F" id="Textbox 5" o:spid="_x0000_s1027" type="#_x0000_t202" style="position:absolute;margin-left:419.3pt;margin-top:764.6pt;width:105pt;height:15.6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yoR0quAA&#10;AAAOAQAADwAAAAAAAAAAAAAAAADxAwAAZHJzL2Rvd25yZXYueG1sUEsFBgAAAAAEAAQA8wAAAP4E&#10;AAAAAA==&#10;" filled="f" stroked="f">
              <v:textbox inset="0,0,0,0">
                <w:txbxContent>
                  <w:p w14:paraId="62E9E2A4" w14:textId="77777777" w:rsidR="00F33144" w:rsidRDefault="00000000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E5395"/>
                          <w:w w:val="10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1359" w14:textId="77777777" w:rsidR="002D3D90" w:rsidRDefault="002D3D90">
      <w:r>
        <w:separator/>
      </w:r>
    </w:p>
  </w:footnote>
  <w:footnote w:type="continuationSeparator" w:id="0">
    <w:p w14:paraId="46F839FB" w14:textId="77777777" w:rsidR="002D3D90" w:rsidRDefault="002D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7031" w14:textId="77777777" w:rsidR="00F3314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4656" behindDoc="1" locked="0" layoutInCell="1" allowOverlap="1" wp14:anchorId="64BE4CFD" wp14:editId="739C7267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5308489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5168" behindDoc="1" locked="0" layoutInCell="1" allowOverlap="1" wp14:anchorId="53DDDA38" wp14:editId="0109797A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139886903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5680" behindDoc="1" locked="0" layoutInCell="1" allowOverlap="1" wp14:anchorId="6385FCB5" wp14:editId="263C9F39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86565731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867"/>
    <w:multiLevelType w:val="hybridMultilevel"/>
    <w:tmpl w:val="EA66D3F2"/>
    <w:lvl w:ilvl="0" w:tplc="7B3C363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77ACE9E">
      <w:numFmt w:val="bullet"/>
      <w:lvlText w:val=""/>
      <w:lvlJc w:val="left"/>
      <w:pPr>
        <w:ind w:left="8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2" w:tplc="1D5E1C22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83ACBFB0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54CEF374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5" w:tplc="2EB09E0A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6" w:tplc="5EA20788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4AF65486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8" w:tplc="13807C1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09029D"/>
    <w:multiLevelType w:val="hybridMultilevel"/>
    <w:tmpl w:val="FBE07652"/>
    <w:lvl w:ilvl="0" w:tplc="8EB8A548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55BEBD80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746CCA1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10BC53BA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65029286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9B44E4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2570BED0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7" w:tplc="DF94C4A8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10062B2C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9F6A8F"/>
    <w:multiLevelType w:val="hybridMultilevel"/>
    <w:tmpl w:val="7C58A82C"/>
    <w:lvl w:ilvl="0" w:tplc="1DE89E96">
      <w:numFmt w:val="bullet"/>
      <w:lvlText w:val="-"/>
      <w:lvlJc w:val="left"/>
      <w:pPr>
        <w:ind w:left="105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5DA030CA">
      <w:numFmt w:val="bullet"/>
      <w:lvlText w:val="•"/>
      <w:lvlJc w:val="left"/>
      <w:pPr>
        <w:ind w:left="856" w:hanging="135"/>
      </w:pPr>
      <w:rPr>
        <w:rFonts w:hint="default"/>
        <w:lang w:val="en-US" w:eastAsia="en-US" w:bidi="ar-SA"/>
      </w:rPr>
    </w:lvl>
    <w:lvl w:ilvl="2" w:tplc="07602A40">
      <w:numFmt w:val="bullet"/>
      <w:lvlText w:val="•"/>
      <w:lvlJc w:val="left"/>
      <w:pPr>
        <w:ind w:left="1612" w:hanging="135"/>
      </w:pPr>
      <w:rPr>
        <w:rFonts w:hint="default"/>
        <w:lang w:val="en-US" w:eastAsia="en-US" w:bidi="ar-SA"/>
      </w:rPr>
    </w:lvl>
    <w:lvl w:ilvl="3" w:tplc="1C4603D0">
      <w:numFmt w:val="bullet"/>
      <w:lvlText w:val="•"/>
      <w:lvlJc w:val="left"/>
      <w:pPr>
        <w:ind w:left="2369" w:hanging="135"/>
      </w:pPr>
      <w:rPr>
        <w:rFonts w:hint="default"/>
        <w:lang w:val="en-US" w:eastAsia="en-US" w:bidi="ar-SA"/>
      </w:rPr>
    </w:lvl>
    <w:lvl w:ilvl="4" w:tplc="8BDE6F66">
      <w:numFmt w:val="bullet"/>
      <w:lvlText w:val="•"/>
      <w:lvlJc w:val="left"/>
      <w:pPr>
        <w:ind w:left="3125" w:hanging="135"/>
      </w:pPr>
      <w:rPr>
        <w:rFonts w:hint="default"/>
        <w:lang w:val="en-US" w:eastAsia="en-US" w:bidi="ar-SA"/>
      </w:rPr>
    </w:lvl>
    <w:lvl w:ilvl="5" w:tplc="F6304C12">
      <w:numFmt w:val="bullet"/>
      <w:lvlText w:val="•"/>
      <w:lvlJc w:val="left"/>
      <w:pPr>
        <w:ind w:left="3882" w:hanging="135"/>
      </w:pPr>
      <w:rPr>
        <w:rFonts w:hint="default"/>
        <w:lang w:val="en-US" w:eastAsia="en-US" w:bidi="ar-SA"/>
      </w:rPr>
    </w:lvl>
    <w:lvl w:ilvl="6" w:tplc="B81EF1EE">
      <w:numFmt w:val="bullet"/>
      <w:lvlText w:val="•"/>
      <w:lvlJc w:val="left"/>
      <w:pPr>
        <w:ind w:left="4638" w:hanging="135"/>
      </w:pPr>
      <w:rPr>
        <w:rFonts w:hint="default"/>
        <w:lang w:val="en-US" w:eastAsia="en-US" w:bidi="ar-SA"/>
      </w:rPr>
    </w:lvl>
    <w:lvl w:ilvl="7" w:tplc="F484F404">
      <w:numFmt w:val="bullet"/>
      <w:lvlText w:val="•"/>
      <w:lvlJc w:val="left"/>
      <w:pPr>
        <w:ind w:left="5394" w:hanging="135"/>
      </w:pPr>
      <w:rPr>
        <w:rFonts w:hint="default"/>
        <w:lang w:val="en-US" w:eastAsia="en-US" w:bidi="ar-SA"/>
      </w:rPr>
    </w:lvl>
    <w:lvl w:ilvl="8" w:tplc="F424B65C">
      <w:numFmt w:val="bullet"/>
      <w:lvlText w:val="•"/>
      <w:lvlJc w:val="left"/>
      <w:pPr>
        <w:ind w:left="6151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6C2A5987"/>
    <w:multiLevelType w:val="hybridMultilevel"/>
    <w:tmpl w:val="943C2B84"/>
    <w:lvl w:ilvl="0" w:tplc="CAD62148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179C0ED2">
      <w:numFmt w:val="bullet"/>
      <w:lvlText w:val="•"/>
      <w:lvlJc w:val="left"/>
      <w:pPr>
        <w:ind w:left="1504" w:hanging="361"/>
      </w:pPr>
      <w:rPr>
        <w:rFonts w:hint="default"/>
        <w:lang w:val="en-US" w:eastAsia="en-US" w:bidi="ar-SA"/>
      </w:rPr>
    </w:lvl>
    <w:lvl w:ilvl="2" w:tplc="F8569680">
      <w:numFmt w:val="bullet"/>
      <w:lvlText w:val="•"/>
      <w:lvlJc w:val="left"/>
      <w:pPr>
        <w:ind w:left="2188" w:hanging="361"/>
      </w:pPr>
      <w:rPr>
        <w:rFonts w:hint="default"/>
        <w:lang w:val="en-US" w:eastAsia="en-US" w:bidi="ar-SA"/>
      </w:rPr>
    </w:lvl>
    <w:lvl w:ilvl="3" w:tplc="516876DA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4" w:tplc="2CCA8548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5" w:tplc="AF78FF0E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6" w:tplc="40A0ACB2">
      <w:numFmt w:val="bullet"/>
      <w:lvlText w:val="•"/>
      <w:lvlJc w:val="left"/>
      <w:pPr>
        <w:ind w:left="4926" w:hanging="361"/>
      </w:pPr>
      <w:rPr>
        <w:rFonts w:hint="default"/>
        <w:lang w:val="en-US" w:eastAsia="en-US" w:bidi="ar-SA"/>
      </w:rPr>
    </w:lvl>
    <w:lvl w:ilvl="7" w:tplc="D29671C6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8" w:tplc="5C72E500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</w:abstractNum>
  <w:num w:numId="1" w16cid:durableId="253637737">
    <w:abstractNumId w:val="2"/>
  </w:num>
  <w:num w:numId="2" w16cid:durableId="1892570619">
    <w:abstractNumId w:val="3"/>
  </w:num>
  <w:num w:numId="3" w16cid:durableId="517230541">
    <w:abstractNumId w:val="1"/>
  </w:num>
  <w:num w:numId="4" w16cid:durableId="98975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44"/>
    <w:rsid w:val="00122E4F"/>
    <w:rsid w:val="00237715"/>
    <w:rsid w:val="002D3D90"/>
    <w:rsid w:val="00495483"/>
    <w:rsid w:val="006649BB"/>
    <w:rsid w:val="007415D1"/>
    <w:rsid w:val="00752DF3"/>
    <w:rsid w:val="00B1285E"/>
    <w:rsid w:val="00EA3F3A"/>
    <w:rsid w:val="00F3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E42"/>
  <w15:docId w15:val="{12D2FBBC-6B39-4067-9C2F-6A25D16E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6649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ivest.ro/wp-content/uploads/2011/03/rohu72-PREZENTAR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jtimis.ro/activitate/proiecte/proiecte-europe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vest.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10</cp:revision>
  <dcterms:created xsi:type="dcterms:W3CDTF">2026-02-25T14:01:00Z</dcterms:created>
  <dcterms:modified xsi:type="dcterms:W3CDTF">2026-02-25T14:03:00Z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4a0688d6-7d19-4b32-87b8-172c1cdaac98</vt:lpwstr>
  </property>
</Properties>
</file>