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78DEC" w14:textId="77777777" w:rsidR="00F620F9" w:rsidRDefault="00F620F9">
      <w:pPr>
        <w:pStyle w:val="BodyText"/>
        <w:rPr>
          <w:rFonts w:ascii="Times New Roman"/>
        </w:r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8"/>
        <w:gridCol w:w="8372"/>
      </w:tblGrid>
      <w:tr w:rsidR="00F620F9" w:rsidRPr="005455E9" w14:paraId="23811467" w14:textId="77777777" w:rsidTr="005455E9">
        <w:trPr>
          <w:trHeight w:val="491"/>
        </w:trPr>
        <w:tc>
          <w:tcPr>
            <w:tcW w:w="10520" w:type="dxa"/>
            <w:gridSpan w:val="2"/>
            <w:shd w:val="clear" w:color="auto" w:fill="17365D" w:themeFill="text2" w:themeFillShade="BF"/>
          </w:tcPr>
          <w:p w14:paraId="5319E55D" w14:textId="77777777" w:rsidR="00F620F9" w:rsidRPr="005455E9" w:rsidRDefault="00000000" w:rsidP="005455E9">
            <w:pPr>
              <w:pStyle w:val="TableParagraph"/>
              <w:spacing w:line="22" w:lineRule="atLeast"/>
              <w:ind w:left="107"/>
              <w:rPr>
                <w:rFonts w:ascii="Open Sans" w:hAnsi="Open Sans" w:cs="Open Sans"/>
                <w:b/>
                <w:bCs/>
              </w:rPr>
            </w:pPr>
            <w:r w:rsidRPr="005455E9">
              <w:rPr>
                <w:rFonts w:ascii="Open Sans" w:hAnsi="Open Sans" w:cs="Open Sans"/>
                <w:b/>
                <w:bCs/>
                <w:color w:val="FFFFFF"/>
              </w:rPr>
              <w:t>Primul Apel Deschis- Proiecte Normale</w:t>
            </w:r>
          </w:p>
        </w:tc>
      </w:tr>
      <w:tr w:rsidR="005455E9" w:rsidRPr="005455E9" w14:paraId="4BEAE67A" w14:textId="77777777">
        <w:trPr>
          <w:trHeight w:val="637"/>
        </w:trPr>
        <w:tc>
          <w:tcPr>
            <w:tcW w:w="2148" w:type="dxa"/>
            <w:shd w:val="clear" w:color="auto" w:fill="D9D9D9"/>
          </w:tcPr>
          <w:p w14:paraId="29F8714F" w14:textId="77777777" w:rsidR="00F620F9" w:rsidRPr="005455E9" w:rsidRDefault="00000000" w:rsidP="005455E9">
            <w:pPr>
              <w:pStyle w:val="TableParagraph"/>
              <w:spacing w:line="22" w:lineRule="atLeast"/>
              <w:ind w:left="107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5455E9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Cod proiect</w:t>
            </w:r>
          </w:p>
        </w:tc>
        <w:tc>
          <w:tcPr>
            <w:tcW w:w="8372" w:type="dxa"/>
          </w:tcPr>
          <w:p w14:paraId="3B1FBEE3" w14:textId="77777777" w:rsidR="00F620F9" w:rsidRPr="005455E9" w:rsidRDefault="00000000" w:rsidP="005455E9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5455E9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ROHU-72</w:t>
            </w:r>
          </w:p>
        </w:tc>
      </w:tr>
      <w:tr w:rsidR="005455E9" w:rsidRPr="005455E9" w14:paraId="25227858" w14:textId="77777777">
        <w:trPr>
          <w:trHeight w:val="899"/>
        </w:trPr>
        <w:tc>
          <w:tcPr>
            <w:tcW w:w="2148" w:type="dxa"/>
            <w:shd w:val="clear" w:color="auto" w:fill="D9D9D9"/>
          </w:tcPr>
          <w:p w14:paraId="35FB62F2" w14:textId="77777777" w:rsidR="00F620F9" w:rsidRPr="005455E9" w:rsidRDefault="00000000" w:rsidP="005455E9">
            <w:pPr>
              <w:pStyle w:val="TableParagraph"/>
              <w:spacing w:line="22" w:lineRule="atLeast"/>
              <w:ind w:left="107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5455E9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Titlu proiect</w:t>
            </w:r>
          </w:p>
        </w:tc>
        <w:tc>
          <w:tcPr>
            <w:tcW w:w="8372" w:type="dxa"/>
          </w:tcPr>
          <w:p w14:paraId="080FB702" w14:textId="77777777" w:rsidR="00F620F9" w:rsidRPr="005455E9" w:rsidRDefault="00000000" w:rsidP="005455E9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5455E9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CBN</w:t>
            </w:r>
          </w:p>
          <w:p w14:paraId="54142D80" w14:textId="310BA59E" w:rsidR="00F620F9" w:rsidRPr="005455E9" w:rsidRDefault="00000000" w:rsidP="005455E9">
            <w:pPr>
              <w:pStyle w:val="TableParagraph"/>
              <w:spacing w:line="22" w:lineRule="atLeast"/>
              <w:ind w:right="96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 w:rsidRPr="005455E9">
              <w:rPr>
                <w:rFonts w:ascii="Open Sans" w:hAnsi="Open Sans" w:cs="Open Sans"/>
                <w:color w:val="17365D" w:themeColor="text2" w:themeShade="BF"/>
              </w:rPr>
              <w:t>Rețea transfrontalieră privind capacitatea de rezistență la dezastre și</w:t>
            </w:r>
            <w:r w:rsidR="005455E9">
              <w:rPr>
                <w:rFonts w:ascii="Open Sans" w:hAnsi="Open Sans" w:cs="Open Sans"/>
                <w:color w:val="17365D" w:themeColor="text2" w:themeShade="BF"/>
              </w:rPr>
              <w:t xml:space="preserve"> </w:t>
            </w:r>
            <w:r w:rsidRPr="005455E9">
              <w:rPr>
                <w:rFonts w:ascii="Open Sans" w:hAnsi="Open Sans" w:cs="Open Sans"/>
                <w:color w:val="17365D" w:themeColor="text2" w:themeShade="BF"/>
              </w:rPr>
              <w:t>gestionarea riscului în situații de urgență</w:t>
            </w:r>
          </w:p>
        </w:tc>
      </w:tr>
      <w:tr w:rsidR="005455E9" w:rsidRPr="005455E9" w14:paraId="2F1E488D" w14:textId="77777777">
        <w:trPr>
          <w:trHeight w:val="709"/>
        </w:trPr>
        <w:tc>
          <w:tcPr>
            <w:tcW w:w="2148" w:type="dxa"/>
            <w:shd w:val="clear" w:color="auto" w:fill="D9D9D9"/>
          </w:tcPr>
          <w:p w14:paraId="366F9093" w14:textId="77777777" w:rsidR="00F620F9" w:rsidRPr="005455E9" w:rsidRDefault="00000000" w:rsidP="005455E9">
            <w:pPr>
              <w:pStyle w:val="TableParagraph"/>
              <w:spacing w:line="22" w:lineRule="atLeast"/>
              <w:ind w:left="107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5455E9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Axă prioritară</w:t>
            </w:r>
          </w:p>
        </w:tc>
        <w:tc>
          <w:tcPr>
            <w:tcW w:w="8372" w:type="dxa"/>
          </w:tcPr>
          <w:p w14:paraId="710A319D" w14:textId="77777777" w:rsidR="00F620F9" w:rsidRPr="005455E9" w:rsidRDefault="00000000" w:rsidP="005455E9">
            <w:pPr>
              <w:pStyle w:val="TableParagraph"/>
              <w:spacing w:line="22" w:lineRule="atLeast"/>
              <w:ind w:right="96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 w:rsidRPr="005455E9">
              <w:rPr>
                <w:rFonts w:ascii="Open Sans" w:hAnsi="Open Sans" w:cs="Open Sans"/>
                <w:color w:val="17365D" w:themeColor="text2" w:themeShade="BF"/>
              </w:rPr>
              <w:t>5 - Îmbunătățirea prevenirii riscurilor și gestionării dezastrelor (Cooperare în domeniul prevenirii riscurilor și gestionării dezastrelor)</w:t>
            </w:r>
          </w:p>
        </w:tc>
      </w:tr>
      <w:tr w:rsidR="005455E9" w:rsidRPr="005455E9" w14:paraId="29A1130D" w14:textId="77777777">
        <w:trPr>
          <w:trHeight w:val="979"/>
        </w:trPr>
        <w:tc>
          <w:tcPr>
            <w:tcW w:w="2148" w:type="dxa"/>
            <w:shd w:val="clear" w:color="auto" w:fill="D9D9D9"/>
          </w:tcPr>
          <w:p w14:paraId="37D20E15" w14:textId="77777777" w:rsidR="00F620F9" w:rsidRPr="005455E9" w:rsidRDefault="00000000" w:rsidP="005455E9">
            <w:pPr>
              <w:pStyle w:val="TableParagraph"/>
              <w:spacing w:line="22" w:lineRule="atLeast"/>
              <w:ind w:left="107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5455E9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Prioritatea de investiție</w:t>
            </w:r>
          </w:p>
        </w:tc>
        <w:tc>
          <w:tcPr>
            <w:tcW w:w="8372" w:type="dxa"/>
          </w:tcPr>
          <w:p w14:paraId="107312B3" w14:textId="77777777" w:rsidR="00F620F9" w:rsidRPr="005455E9" w:rsidRDefault="00000000" w:rsidP="005455E9">
            <w:pPr>
              <w:pStyle w:val="TableParagraph"/>
              <w:spacing w:line="22" w:lineRule="atLeast"/>
              <w:ind w:right="96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 w:rsidRPr="005455E9">
              <w:rPr>
                <w:rFonts w:ascii="Open Sans" w:hAnsi="Open Sans" w:cs="Open Sans"/>
                <w:color w:val="17365D" w:themeColor="text2" w:themeShade="BF"/>
              </w:rPr>
              <w:t>5/b - Promovarea investițiilor pentru abordarea riscurilor specifice, asigurarea intervenției în cazul dezastrelor și dezvoltarea unui sistem de gestionare a dezastrelor</w:t>
            </w:r>
          </w:p>
        </w:tc>
      </w:tr>
      <w:tr w:rsidR="005455E9" w:rsidRPr="005455E9" w14:paraId="34734990" w14:textId="77777777">
        <w:trPr>
          <w:trHeight w:val="981"/>
        </w:trPr>
        <w:tc>
          <w:tcPr>
            <w:tcW w:w="2148" w:type="dxa"/>
            <w:shd w:val="clear" w:color="auto" w:fill="D9D9D9"/>
          </w:tcPr>
          <w:p w14:paraId="2364B224" w14:textId="77777777" w:rsidR="00F620F9" w:rsidRPr="005455E9" w:rsidRDefault="00000000" w:rsidP="005455E9">
            <w:pPr>
              <w:pStyle w:val="TableParagraph"/>
              <w:spacing w:line="22" w:lineRule="atLeast"/>
              <w:ind w:left="107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5455E9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Perioada de implementare</w:t>
            </w:r>
          </w:p>
        </w:tc>
        <w:tc>
          <w:tcPr>
            <w:tcW w:w="8372" w:type="dxa"/>
          </w:tcPr>
          <w:p w14:paraId="6912CF70" w14:textId="77777777" w:rsidR="00F620F9" w:rsidRPr="005455E9" w:rsidRDefault="00F620F9" w:rsidP="005455E9">
            <w:pPr>
              <w:pStyle w:val="TableParagraph"/>
              <w:spacing w:line="22" w:lineRule="atLeast"/>
              <w:ind w:left="0"/>
              <w:rPr>
                <w:rFonts w:ascii="Open Sans" w:hAnsi="Open Sans" w:cs="Open Sans"/>
                <w:color w:val="17365D" w:themeColor="text2" w:themeShade="BF"/>
              </w:rPr>
            </w:pPr>
          </w:p>
          <w:p w14:paraId="11ACFD04" w14:textId="77777777" w:rsidR="00F620F9" w:rsidRPr="005455E9" w:rsidRDefault="00000000" w:rsidP="005455E9">
            <w:pPr>
              <w:pStyle w:val="TableParagraph"/>
              <w:spacing w:line="22" w:lineRule="atLeast"/>
              <w:rPr>
                <w:rFonts w:ascii="Open Sans" w:hAnsi="Open Sans" w:cs="Open Sans"/>
                <w:color w:val="17365D" w:themeColor="text2" w:themeShade="BF"/>
              </w:rPr>
            </w:pPr>
            <w:r w:rsidRPr="005455E9">
              <w:rPr>
                <w:rFonts w:ascii="Open Sans" w:hAnsi="Open Sans" w:cs="Open Sans"/>
                <w:color w:val="17365D" w:themeColor="text2" w:themeShade="BF"/>
              </w:rPr>
              <w:t>55 luni (01 Mai 2019 – 30 Noiembrie 2023)</w:t>
            </w:r>
          </w:p>
        </w:tc>
      </w:tr>
      <w:tr w:rsidR="005455E9" w:rsidRPr="005455E9" w14:paraId="1A7282AF" w14:textId="77777777">
        <w:trPr>
          <w:trHeight w:val="1228"/>
        </w:trPr>
        <w:tc>
          <w:tcPr>
            <w:tcW w:w="2148" w:type="dxa"/>
            <w:shd w:val="clear" w:color="auto" w:fill="D9D9D9"/>
          </w:tcPr>
          <w:p w14:paraId="45D9DB40" w14:textId="77777777" w:rsidR="00F620F9" w:rsidRPr="005455E9" w:rsidRDefault="00F620F9" w:rsidP="005455E9">
            <w:pPr>
              <w:pStyle w:val="TableParagraph"/>
              <w:spacing w:line="22" w:lineRule="atLeast"/>
              <w:ind w:left="0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</w:p>
          <w:p w14:paraId="51BCFA18" w14:textId="77777777" w:rsidR="00F620F9" w:rsidRPr="005455E9" w:rsidRDefault="00000000" w:rsidP="005455E9">
            <w:pPr>
              <w:pStyle w:val="TableParagraph"/>
              <w:spacing w:line="22" w:lineRule="atLeast"/>
              <w:ind w:left="107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5455E9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Obiectiv</w:t>
            </w:r>
          </w:p>
        </w:tc>
        <w:tc>
          <w:tcPr>
            <w:tcW w:w="8372" w:type="dxa"/>
          </w:tcPr>
          <w:p w14:paraId="59D34E5F" w14:textId="4BD1A26E" w:rsidR="00F620F9" w:rsidRPr="005455E9" w:rsidRDefault="005455E9" w:rsidP="005455E9">
            <w:pPr>
              <w:pStyle w:val="TableParagraph"/>
              <w:spacing w:line="22" w:lineRule="atLeast"/>
              <w:ind w:right="96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>
              <w:rPr>
                <w:rFonts w:ascii="Open Sans" w:hAnsi="Open Sans" w:cs="Open Sans"/>
                <w:color w:val="17365D" w:themeColor="text2" w:themeShade="BF"/>
              </w:rPr>
              <w:t>Obiectivul principal al proiectului a fost î</w:t>
            </w:r>
            <w:r w:rsidR="00000000" w:rsidRPr="005455E9">
              <w:rPr>
                <w:rFonts w:ascii="Open Sans" w:hAnsi="Open Sans" w:cs="Open Sans"/>
                <w:color w:val="17365D" w:themeColor="text2" w:themeShade="BF"/>
              </w:rPr>
              <w:t>mbunătățirea rețelei instituționale transfrontaliere, a interschimburilor, a capacității de prevenire și diminuare a riscurilor în situații de urgență, prin abordarea riscurilor specifice, asigurarea rezistenței în fața dezastrelor și dezvoltarea unor sisteme de gestionare a dezastrelor.</w:t>
            </w:r>
          </w:p>
        </w:tc>
      </w:tr>
      <w:tr w:rsidR="005455E9" w:rsidRPr="005455E9" w14:paraId="4C0221DF" w14:textId="77777777">
        <w:trPr>
          <w:trHeight w:val="599"/>
        </w:trPr>
        <w:tc>
          <w:tcPr>
            <w:tcW w:w="2148" w:type="dxa"/>
            <w:vMerge w:val="restart"/>
            <w:shd w:val="clear" w:color="auto" w:fill="D9D9D9"/>
          </w:tcPr>
          <w:p w14:paraId="360C23D4" w14:textId="77777777" w:rsidR="00F620F9" w:rsidRPr="005455E9" w:rsidRDefault="00F620F9" w:rsidP="005455E9">
            <w:pPr>
              <w:pStyle w:val="TableParagraph"/>
              <w:spacing w:line="22" w:lineRule="atLeast"/>
              <w:ind w:left="0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</w:p>
          <w:p w14:paraId="0AC754F6" w14:textId="77777777" w:rsidR="00F620F9" w:rsidRPr="005455E9" w:rsidRDefault="00F620F9" w:rsidP="005455E9">
            <w:pPr>
              <w:pStyle w:val="TableParagraph"/>
              <w:spacing w:line="22" w:lineRule="atLeast"/>
              <w:ind w:left="0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</w:p>
          <w:p w14:paraId="1C1305C9" w14:textId="77777777" w:rsidR="00F620F9" w:rsidRPr="005455E9" w:rsidRDefault="00F620F9" w:rsidP="005455E9">
            <w:pPr>
              <w:pStyle w:val="TableParagraph"/>
              <w:spacing w:line="22" w:lineRule="atLeast"/>
              <w:ind w:left="0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</w:p>
          <w:p w14:paraId="20D1AE23" w14:textId="77777777" w:rsidR="00F620F9" w:rsidRPr="005455E9" w:rsidRDefault="00000000" w:rsidP="005455E9">
            <w:pPr>
              <w:pStyle w:val="TableParagraph"/>
              <w:spacing w:line="22" w:lineRule="atLeast"/>
              <w:ind w:left="107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5455E9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Parteneriat</w:t>
            </w:r>
          </w:p>
        </w:tc>
        <w:tc>
          <w:tcPr>
            <w:tcW w:w="8372" w:type="dxa"/>
          </w:tcPr>
          <w:p w14:paraId="27123E72" w14:textId="77777777" w:rsidR="00F620F9" w:rsidRPr="005455E9" w:rsidRDefault="00000000" w:rsidP="005455E9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5455E9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Beneficiar Principal: Asociația de Dezvoltare Intercomunitară pentru</w:t>
            </w:r>
          </w:p>
          <w:p w14:paraId="01F26B11" w14:textId="77777777" w:rsidR="00F620F9" w:rsidRPr="005455E9" w:rsidRDefault="00000000" w:rsidP="005455E9">
            <w:pPr>
              <w:pStyle w:val="TableParagraph"/>
              <w:spacing w:line="22" w:lineRule="atLeast"/>
              <w:rPr>
                <w:rFonts w:ascii="Open Sans" w:hAnsi="Open Sans" w:cs="Open Sans"/>
                <w:color w:val="17365D" w:themeColor="text2" w:themeShade="BF"/>
              </w:rPr>
            </w:pPr>
            <w:r w:rsidRPr="005455E9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Managementul Situațiilor de Urgență (România)</w:t>
            </w:r>
          </w:p>
        </w:tc>
      </w:tr>
      <w:tr w:rsidR="005455E9" w:rsidRPr="005455E9" w14:paraId="240864D7" w14:textId="77777777">
        <w:trPr>
          <w:trHeight w:val="1610"/>
        </w:trPr>
        <w:tc>
          <w:tcPr>
            <w:tcW w:w="2148" w:type="dxa"/>
            <w:vMerge/>
            <w:tcBorders>
              <w:top w:val="nil"/>
            </w:tcBorders>
            <w:shd w:val="clear" w:color="auto" w:fill="D9D9D9"/>
          </w:tcPr>
          <w:p w14:paraId="08DA58C9" w14:textId="77777777" w:rsidR="00F620F9" w:rsidRPr="005455E9" w:rsidRDefault="00F620F9" w:rsidP="005455E9">
            <w:pPr>
              <w:spacing w:line="22" w:lineRule="atLeast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</w:p>
        </w:tc>
        <w:tc>
          <w:tcPr>
            <w:tcW w:w="8372" w:type="dxa"/>
          </w:tcPr>
          <w:p w14:paraId="3B8CC94C" w14:textId="77777777" w:rsidR="00F620F9" w:rsidRPr="005455E9" w:rsidRDefault="00000000" w:rsidP="005455E9">
            <w:pPr>
              <w:pStyle w:val="TableParagraph"/>
              <w:spacing w:line="22" w:lineRule="atLeast"/>
              <w:rPr>
                <w:rFonts w:ascii="Open Sans" w:hAnsi="Open Sans" w:cs="Open Sans"/>
                <w:color w:val="17365D" w:themeColor="text2" w:themeShade="BF"/>
              </w:rPr>
            </w:pPr>
            <w:r w:rsidRPr="005455E9">
              <w:rPr>
                <w:rFonts w:ascii="Open Sans" w:hAnsi="Open Sans" w:cs="Open Sans"/>
                <w:color w:val="17365D" w:themeColor="text2" w:themeShade="BF"/>
              </w:rPr>
              <w:t>Parteneri de proiect:</w:t>
            </w:r>
          </w:p>
          <w:p w14:paraId="23133DE1" w14:textId="77777777" w:rsidR="00F620F9" w:rsidRPr="005455E9" w:rsidRDefault="00000000" w:rsidP="005455E9">
            <w:pPr>
              <w:pStyle w:val="TableParagraph"/>
              <w:spacing w:line="22" w:lineRule="atLeast"/>
              <w:ind w:right="4472"/>
              <w:rPr>
                <w:rFonts w:ascii="Open Sans" w:hAnsi="Open Sans" w:cs="Open Sans"/>
                <w:color w:val="17365D" w:themeColor="text2" w:themeShade="BF"/>
              </w:rPr>
            </w:pPr>
            <w:r w:rsidRPr="005455E9">
              <w:rPr>
                <w:rFonts w:ascii="Open Sans" w:hAnsi="Open Sans" w:cs="Open Sans"/>
                <w:color w:val="17365D" w:themeColor="text2" w:themeShade="BF"/>
              </w:rPr>
              <w:t>PP2: UAT Județul Arad (România) PP3: UAT Județul Timiș (România)</w:t>
            </w:r>
          </w:p>
          <w:p w14:paraId="3439AF57" w14:textId="77777777" w:rsidR="00F620F9" w:rsidRPr="005455E9" w:rsidRDefault="00000000" w:rsidP="005455E9">
            <w:pPr>
              <w:pStyle w:val="TableParagraph"/>
              <w:spacing w:line="22" w:lineRule="atLeast"/>
              <w:ind w:right="889"/>
              <w:rPr>
                <w:rFonts w:ascii="Open Sans" w:hAnsi="Open Sans" w:cs="Open Sans"/>
                <w:color w:val="17365D" w:themeColor="text2" w:themeShade="BF"/>
              </w:rPr>
            </w:pPr>
            <w:r w:rsidRPr="005455E9">
              <w:rPr>
                <w:rFonts w:ascii="Open Sans" w:hAnsi="Open Sans" w:cs="Open Sans"/>
                <w:color w:val="17365D" w:themeColor="text2" w:themeShade="BF"/>
              </w:rPr>
              <w:t>PP4: Agenția Nonprofit de Dezvoltare Euroregională DKMT (Ungaria) PP5: Asociația de Pompieri Voluntari Mórahalom (Ungaria)</w:t>
            </w:r>
          </w:p>
        </w:tc>
      </w:tr>
      <w:tr w:rsidR="005455E9" w:rsidRPr="005455E9" w14:paraId="17C8FC54" w14:textId="77777777">
        <w:trPr>
          <w:trHeight w:val="503"/>
        </w:trPr>
        <w:tc>
          <w:tcPr>
            <w:tcW w:w="2148" w:type="dxa"/>
            <w:shd w:val="clear" w:color="auto" w:fill="D9D9D9"/>
          </w:tcPr>
          <w:p w14:paraId="7111437A" w14:textId="77777777" w:rsidR="00F620F9" w:rsidRPr="005455E9" w:rsidRDefault="00000000" w:rsidP="005455E9">
            <w:pPr>
              <w:pStyle w:val="TableParagraph"/>
              <w:spacing w:line="22" w:lineRule="atLeast"/>
              <w:ind w:left="107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5455E9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Buget total</w:t>
            </w:r>
          </w:p>
        </w:tc>
        <w:tc>
          <w:tcPr>
            <w:tcW w:w="8372" w:type="dxa"/>
          </w:tcPr>
          <w:p w14:paraId="3E568214" w14:textId="77777777" w:rsidR="00F620F9" w:rsidRPr="005455E9" w:rsidRDefault="00000000" w:rsidP="005455E9">
            <w:pPr>
              <w:pStyle w:val="TableParagraph"/>
              <w:spacing w:line="22" w:lineRule="atLeast"/>
              <w:rPr>
                <w:rFonts w:ascii="Open Sans" w:hAnsi="Open Sans" w:cs="Open Sans"/>
                <w:color w:val="17365D" w:themeColor="text2" w:themeShade="BF"/>
              </w:rPr>
            </w:pPr>
            <w:r w:rsidRPr="005455E9">
              <w:rPr>
                <w:rFonts w:ascii="Open Sans" w:hAnsi="Open Sans" w:cs="Open Sans"/>
                <w:color w:val="17365D" w:themeColor="text2" w:themeShade="BF"/>
              </w:rPr>
              <w:t>2.682.782,50 Euro, din care FEDR 2.280.365,12 Euro</w:t>
            </w:r>
          </w:p>
        </w:tc>
      </w:tr>
      <w:tr w:rsidR="005455E9" w:rsidRPr="005455E9" w14:paraId="42A7E5BD" w14:textId="77777777">
        <w:trPr>
          <w:trHeight w:val="3895"/>
        </w:trPr>
        <w:tc>
          <w:tcPr>
            <w:tcW w:w="2148" w:type="dxa"/>
            <w:shd w:val="clear" w:color="auto" w:fill="D9D9D9"/>
          </w:tcPr>
          <w:p w14:paraId="1484EBCC" w14:textId="77777777" w:rsidR="00F620F9" w:rsidRPr="005455E9" w:rsidRDefault="00F620F9" w:rsidP="005455E9">
            <w:pPr>
              <w:pStyle w:val="TableParagraph"/>
              <w:spacing w:line="22" w:lineRule="atLeast"/>
              <w:ind w:left="0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</w:p>
          <w:p w14:paraId="4A56BD50" w14:textId="77777777" w:rsidR="00F620F9" w:rsidRPr="005455E9" w:rsidRDefault="00F620F9" w:rsidP="005455E9">
            <w:pPr>
              <w:pStyle w:val="TableParagraph"/>
              <w:spacing w:line="22" w:lineRule="atLeast"/>
              <w:ind w:left="0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</w:p>
          <w:p w14:paraId="7CA9757C" w14:textId="77777777" w:rsidR="00F620F9" w:rsidRPr="005455E9" w:rsidRDefault="00F620F9" w:rsidP="005455E9">
            <w:pPr>
              <w:pStyle w:val="TableParagraph"/>
              <w:spacing w:line="22" w:lineRule="atLeast"/>
              <w:ind w:left="0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</w:p>
          <w:p w14:paraId="0C0D0492" w14:textId="77777777" w:rsidR="00F620F9" w:rsidRPr="005455E9" w:rsidRDefault="00F620F9" w:rsidP="005455E9">
            <w:pPr>
              <w:pStyle w:val="TableParagraph"/>
              <w:spacing w:line="22" w:lineRule="atLeast"/>
              <w:ind w:left="0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</w:p>
          <w:p w14:paraId="6A750584" w14:textId="77777777" w:rsidR="00F620F9" w:rsidRPr="005455E9" w:rsidRDefault="00F620F9" w:rsidP="005455E9">
            <w:pPr>
              <w:pStyle w:val="TableParagraph"/>
              <w:spacing w:line="22" w:lineRule="atLeast"/>
              <w:ind w:left="0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</w:p>
          <w:p w14:paraId="266186CD" w14:textId="77777777" w:rsidR="00F620F9" w:rsidRPr="005455E9" w:rsidRDefault="00F620F9" w:rsidP="005455E9">
            <w:pPr>
              <w:pStyle w:val="TableParagraph"/>
              <w:spacing w:line="22" w:lineRule="atLeast"/>
              <w:ind w:left="0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</w:p>
          <w:p w14:paraId="067D24E4" w14:textId="77777777" w:rsidR="00F620F9" w:rsidRPr="005455E9" w:rsidRDefault="00F620F9" w:rsidP="005455E9">
            <w:pPr>
              <w:pStyle w:val="TableParagraph"/>
              <w:spacing w:line="22" w:lineRule="atLeast"/>
              <w:ind w:left="0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</w:p>
          <w:p w14:paraId="09FCFE12" w14:textId="77777777" w:rsidR="00F620F9" w:rsidRPr="005455E9" w:rsidRDefault="00000000" w:rsidP="005455E9">
            <w:pPr>
              <w:pStyle w:val="TableParagraph"/>
              <w:spacing w:line="22" w:lineRule="atLeast"/>
              <w:ind w:left="107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5455E9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Sumar</w:t>
            </w:r>
          </w:p>
        </w:tc>
        <w:tc>
          <w:tcPr>
            <w:tcW w:w="8372" w:type="dxa"/>
          </w:tcPr>
          <w:p w14:paraId="49ABB7B4" w14:textId="0ACE37C2" w:rsidR="00F620F9" w:rsidRPr="005455E9" w:rsidRDefault="00000000" w:rsidP="005455E9">
            <w:pPr>
              <w:pStyle w:val="TableParagraph"/>
              <w:spacing w:line="22" w:lineRule="atLeast"/>
              <w:ind w:right="96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 w:rsidRPr="005455E9">
              <w:rPr>
                <w:rFonts w:ascii="Open Sans" w:hAnsi="Open Sans" w:cs="Open Sans"/>
                <w:color w:val="17365D" w:themeColor="text2" w:themeShade="BF"/>
              </w:rPr>
              <w:t xml:space="preserve">Proiectul ROHU-72 </w:t>
            </w:r>
            <w:r w:rsidR="005455E9">
              <w:rPr>
                <w:rFonts w:ascii="Open Sans" w:hAnsi="Open Sans" w:cs="Open Sans"/>
                <w:color w:val="17365D" w:themeColor="text2" w:themeShade="BF"/>
              </w:rPr>
              <w:t xml:space="preserve">a avut </w:t>
            </w:r>
            <w:r w:rsidRPr="005455E9">
              <w:rPr>
                <w:rFonts w:ascii="Open Sans" w:hAnsi="Open Sans" w:cs="Open Sans"/>
                <w:color w:val="17365D" w:themeColor="text2" w:themeShade="BF"/>
              </w:rPr>
              <w:t xml:space="preserve">ca scop creșterea capacității de intervenție transfrontalieră în situații de risc, </w:t>
            </w:r>
            <w:r w:rsidR="005455E9">
              <w:rPr>
                <w:rFonts w:ascii="Open Sans" w:hAnsi="Open Sans" w:cs="Open Sans"/>
                <w:color w:val="17365D" w:themeColor="text2" w:themeShade="BF"/>
              </w:rPr>
              <w:t>consolidarea capacității instituționale și îmbunătățirea abilităților</w:t>
            </w:r>
            <w:r w:rsidRPr="005455E9">
              <w:rPr>
                <w:rFonts w:ascii="Open Sans" w:hAnsi="Open Sans" w:cs="Open Sans"/>
                <w:color w:val="17365D" w:themeColor="text2" w:themeShade="BF"/>
              </w:rPr>
              <w:t xml:space="preserve"> cetățenilor și ale personalului de intervenție, profesional și voluntar, în abordarea tipurilor de situații de urgență.</w:t>
            </w:r>
          </w:p>
          <w:p w14:paraId="5BB352F3" w14:textId="77777777" w:rsidR="00F620F9" w:rsidRPr="005455E9" w:rsidRDefault="00F620F9" w:rsidP="005455E9">
            <w:pPr>
              <w:pStyle w:val="TableParagraph"/>
              <w:spacing w:line="22" w:lineRule="atLeast"/>
              <w:ind w:left="0"/>
              <w:rPr>
                <w:rFonts w:ascii="Open Sans" w:hAnsi="Open Sans" w:cs="Open Sans"/>
                <w:color w:val="17365D" w:themeColor="text2" w:themeShade="BF"/>
              </w:rPr>
            </w:pPr>
          </w:p>
          <w:p w14:paraId="098216F6" w14:textId="6B4F71BF" w:rsidR="00F620F9" w:rsidRPr="005455E9" w:rsidRDefault="00000000" w:rsidP="005455E9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5455E9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 xml:space="preserve">Principalele activități </w:t>
            </w:r>
            <w:r w:rsidR="005455E9" w:rsidRPr="005455E9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desfășurate</w:t>
            </w:r>
            <w:r w:rsidRPr="005455E9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:</w:t>
            </w:r>
          </w:p>
          <w:p w14:paraId="5EB7974F" w14:textId="77777777" w:rsidR="00F620F9" w:rsidRPr="005455E9" w:rsidRDefault="00000000" w:rsidP="005455E9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2" w:lineRule="atLeast"/>
              <w:rPr>
                <w:rFonts w:ascii="Open Sans" w:hAnsi="Open Sans" w:cs="Open Sans"/>
                <w:color w:val="17365D" w:themeColor="text2" w:themeShade="BF"/>
              </w:rPr>
            </w:pPr>
            <w:r w:rsidRPr="005455E9">
              <w:rPr>
                <w:rFonts w:ascii="Open Sans" w:hAnsi="Open Sans" w:cs="Open Sans"/>
                <w:color w:val="17365D" w:themeColor="text2" w:themeShade="BF"/>
              </w:rPr>
              <w:t>Achiziționarea de echipament specific de operare și intervenție:</w:t>
            </w:r>
          </w:p>
          <w:p w14:paraId="44349787" w14:textId="77777777" w:rsidR="00F620F9" w:rsidRPr="005455E9" w:rsidRDefault="00000000" w:rsidP="005455E9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2" w:lineRule="atLeast"/>
              <w:ind w:hanging="360"/>
              <w:rPr>
                <w:rFonts w:ascii="Open Sans" w:hAnsi="Open Sans" w:cs="Open Sans"/>
                <w:color w:val="17365D" w:themeColor="text2" w:themeShade="BF"/>
              </w:rPr>
            </w:pPr>
            <w:r w:rsidRPr="005455E9">
              <w:rPr>
                <w:rFonts w:ascii="Open Sans" w:hAnsi="Open Sans" w:cs="Open Sans"/>
                <w:color w:val="17365D" w:themeColor="text2" w:themeShade="BF"/>
              </w:rPr>
              <w:t>BP: 1 vehicul operațional,</w:t>
            </w:r>
          </w:p>
          <w:p w14:paraId="68132CBB" w14:textId="7982533A" w:rsidR="00F620F9" w:rsidRPr="005455E9" w:rsidRDefault="00000000" w:rsidP="005455E9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2" w:lineRule="atLeast"/>
              <w:ind w:right="314"/>
              <w:rPr>
                <w:rFonts w:ascii="Open Sans" w:hAnsi="Open Sans" w:cs="Open Sans"/>
                <w:color w:val="17365D" w:themeColor="text2" w:themeShade="BF"/>
              </w:rPr>
            </w:pPr>
            <w:r w:rsidRPr="005455E9">
              <w:rPr>
                <w:rFonts w:ascii="Open Sans" w:hAnsi="Open Sans" w:cs="Open Sans"/>
                <w:color w:val="17365D" w:themeColor="text2" w:themeShade="BF"/>
              </w:rPr>
              <w:t>PP2: 3 ambulanțe de urgență, 1 vehicul de stingere a incendiilor cu apă și spumă, 19 paturi de terapie intensivă, 50 injectomate, 35 infuzomate, 2 ventilatoare de transport, monitoare pentru funcțiile vitale, 3 stații centrale de monitorizare, 5 monitoare de transport, 2</w:t>
            </w:r>
            <w:r w:rsidR="005455E9">
              <w:rPr>
                <w:rFonts w:ascii="Open Sans" w:hAnsi="Open Sans" w:cs="Open Sans"/>
                <w:color w:val="17365D" w:themeColor="text2" w:themeShade="BF"/>
              </w:rPr>
              <w:t xml:space="preserve"> </w:t>
            </w:r>
            <w:r w:rsidRPr="005455E9">
              <w:rPr>
                <w:rFonts w:ascii="Open Sans" w:hAnsi="Open Sans" w:cs="Open Sans"/>
                <w:color w:val="17365D" w:themeColor="text2" w:themeShade="BF"/>
              </w:rPr>
              <w:t>brancarde pentru transportul pacienți, 5 puls oximetre portabile, 2</w:t>
            </w:r>
          </w:p>
        </w:tc>
      </w:tr>
    </w:tbl>
    <w:p w14:paraId="3E255B67" w14:textId="77777777" w:rsidR="00F620F9" w:rsidRPr="005455E9" w:rsidRDefault="00F620F9" w:rsidP="005455E9">
      <w:pPr>
        <w:pStyle w:val="TableParagraph"/>
        <w:spacing w:line="22" w:lineRule="atLeast"/>
        <w:rPr>
          <w:rFonts w:ascii="Open Sans" w:hAnsi="Open Sans" w:cs="Open Sans"/>
          <w:color w:val="17365D" w:themeColor="text2" w:themeShade="BF"/>
        </w:rPr>
        <w:sectPr w:rsidR="00F620F9" w:rsidRPr="005455E9">
          <w:headerReference w:type="default" r:id="rId7"/>
          <w:footerReference w:type="default" r:id="rId8"/>
          <w:type w:val="continuous"/>
          <w:pgSz w:w="11910" w:h="16840"/>
          <w:pgMar w:top="1460" w:right="566" w:bottom="660" w:left="708" w:header="345" w:footer="467" w:gutter="0"/>
          <w:pgNumType w:start="1"/>
          <w:cols w:space="720"/>
        </w:sect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8"/>
        <w:gridCol w:w="8372"/>
      </w:tblGrid>
      <w:tr w:rsidR="005455E9" w:rsidRPr="005455E9" w14:paraId="4C90B207" w14:textId="77777777" w:rsidTr="005455E9">
        <w:trPr>
          <w:trHeight w:val="8180"/>
        </w:trPr>
        <w:tc>
          <w:tcPr>
            <w:tcW w:w="2148" w:type="dxa"/>
            <w:shd w:val="clear" w:color="auto" w:fill="D9D9D9"/>
          </w:tcPr>
          <w:p w14:paraId="3A304CCB" w14:textId="77777777" w:rsidR="00F620F9" w:rsidRPr="005455E9" w:rsidRDefault="00F620F9" w:rsidP="005455E9">
            <w:pPr>
              <w:pStyle w:val="TableParagraph"/>
              <w:spacing w:line="22" w:lineRule="atLeast"/>
              <w:ind w:left="0"/>
              <w:rPr>
                <w:rFonts w:ascii="Open Sans" w:hAnsi="Open Sans" w:cs="Open Sans"/>
                <w:color w:val="17365D" w:themeColor="text2" w:themeShade="BF"/>
              </w:rPr>
            </w:pPr>
          </w:p>
        </w:tc>
        <w:tc>
          <w:tcPr>
            <w:tcW w:w="8372" w:type="dxa"/>
          </w:tcPr>
          <w:p w14:paraId="69FEE16F" w14:textId="77777777" w:rsidR="00F620F9" w:rsidRPr="005455E9" w:rsidRDefault="00000000" w:rsidP="005455E9">
            <w:pPr>
              <w:pStyle w:val="TableParagraph"/>
              <w:spacing w:line="22" w:lineRule="atLeast"/>
              <w:ind w:left="1188"/>
              <w:rPr>
                <w:rFonts w:ascii="Open Sans" w:hAnsi="Open Sans" w:cs="Open Sans"/>
                <w:color w:val="17365D" w:themeColor="text2" w:themeShade="BF"/>
              </w:rPr>
            </w:pPr>
            <w:r w:rsidRPr="005455E9">
              <w:rPr>
                <w:rFonts w:ascii="Open Sans" w:hAnsi="Open Sans" w:cs="Open Sans"/>
                <w:color w:val="17365D" w:themeColor="text2" w:themeShade="BF"/>
              </w:rPr>
              <w:t>defibrilatoare, un set de aspiratoare de secreție, aparat portabil ECG, 25 suporturi de perfuzie, 2 dulapuri pentru medicamente</w:t>
            </w:r>
          </w:p>
          <w:p w14:paraId="721B496C" w14:textId="77777777" w:rsidR="00F620F9" w:rsidRPr="005455E9" w:rsidRDefault="00000000" w:rsidP="005455E9">
            <w:pPr>
              <w:pStyle w:val="TableParagraph"/>
              <w:numPr>
                <w:ilvl w:val="0"/>
                <w:numId w:val="3"/>
              </w:numPr>
              <w:tabs>
                <w:tab w:val="left" w:pos="1188"/>
              </w:tabs>
              <w:spacing w:line="22" w:lineRule="atLeast"/>
              <w:ind w:hanging="360"/>
              <w:rPr>
                <w:rFonts w:ascii="Open Sans" w:hAnsi="Open Sans" w:cs="Open Sans"/>
                <w:color w:val="17365D" w:themeColor="text2" w:themeShade="BF"/>
              </w:rPr>
            </w:pPr>
            <w:r w:rsidRPr="005455E9">
              <w:rPr>
                <w:rFonts w:ascii="Open Sans" w:hAnsi="Open Sans" w:cs="Open Sans"/>
                <w:color w:val="17365D" w:themeColor="text2" w:themeShade="BF"/>
              </w:rPr>
              <w:t>PP3: 3 vehicule complexe de intervenție</w:t>
            </w:r>
          </w:p>
          <w:p w14:paraId="1BDC95DE" w14:textId="77777777" w:rsidR="00F620F9" w:rsidRPr="005455E9" w:rsidRDefault="00000000" w:rsidP="005455E9">
            <w:pPr>
              <w:pStyle w:val="TableParagraph"/>
              <w:numPr>
                <w:ilvl w:val="0"/>
                <w:numId w:val="3"/>
              </w:numPr>
              <w:tabs>
                <w:tab w:val="left" w:pos="1188"/>
              </w:tabs>
              <w:spacing w:line="22" w:lineRule="atLeast"/>
              <w:ind w:hanging="360"/>
              <w:rPr>
                <w:rFonts w:ascii="Open Sans" w:hAnsi="Open Sans" w:cs="Open Sans"/>
                <w:color w:val="17365D" w:themeColor="text2" w:themeShade="BF"/>
              </w:rPr>
            </w:pPr>
            <w:r w:rsidRPr="005455E9">
              <w:rPr>
                <w:rFonts w:ascii="Open Sans" w:hAnsi="Open Sans" w:cs="Open Sans"/>
                <w:color w:val="17365D" w:themeColor="text2" w:themeShade="BF"/>
              </w:rPr>
              <w:t>PP5: 1 mașină universală cu dispozitive suplimentare</w:t>
            </w:r>
          </w:p>
          <w:p w14:paraId="786E3332" w14:textId="77777777" w:rsidR="00F620F9" w:rsidRPr="005455E9" w:rsidRDefault="00000000" w:rsidP="005455E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2" w:lineRule="atLeast"/>
              <w:ind w:right="517"/>
              <w:rPr>
                <w:rFonts w:ascii="Open Sans" w:hAnsi="Open Sans" w:cs="Open Sans"/>
                <w:color w:val="17365D" w:themeColor="text2" w:themeShade="BF"/>
              </w:rPr>
            </w:pPr>
            <w:r w:rsidRPr="005455E9">
              <w:rPr>
                <w:rFonts w:ascii="Open Sans" w:hAnsi="Open Sans" w:cs="Open Sans"/>
                <w:color w:val="17365D" w:themeColor="text2" w:themeShade="BF"/>
              </w:rPr>
              <w:t>Elaborarea unui curriculum comun pentru elevi pentru 3 grupe de vârstă diferite (6-10, 10-14, 14-18) având ca temă comportamentul în diferite tipuri de situații de urgență</w:t>
            </w:r>
          </w:p>
          <w:p w14:paraId="36AF054B" w14:textId="77777777" w:rsidR="00F620F9" w:rsidRPr="005455E9" w:rsidRDefault="00000000" w:rsidP="005455E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2" w:lineRule="atLeast"/>
              <w:rPr>
                <w:rFonts w:ascii="Open Sans" w:hAnsi="Open Sans" w:cs="Open Sans"/>
                <w:color w:val="17365D" w:themeColor="text2" w:themeShade="BF"/>
              </w:rPr>
            </w:pPr>
            <w:r w:rsidRPr="005455E9">
              <w:rPr>
                <w:rFonts w:ascii="Open Sans" w:hAnsi="Open Sans" w:cs="Open Sans"/>
                <w:color w:val="17365D" w:themeColor="text2" w:themeShade="BF"/>
              </w:rPr>
              <w:t>Organizarea de tabere și a unor concursuri comune având ca temă</w:t>
            </w:r>
          </w:p>
          <w:p w14:paraId="736AD919" w14:textId="77777777" w:rsidR="00F620F9" w:rsidRPr="005455E9" w:rsidRDefault="00000000" w:rsidP="005455E9">
            <w:pPr>
              <w:pStyle w:val="TableParagraph"/>
              <w:spacing w:line="22" w:lineRule="atLeast"/>
              <w:ind w:left="828"/>
              <w:rPr>
                <w:rFonts w:ascii="Open Sans" w:hAnsi="Open Sans" w:cs="Open Sans"/>
                <w:color w:val="17365D" w:themeColor="text2" w:themeShade="BF"/>
              </w:rPr>
            </w:pPr>
            <w:r w:rsidRPr="005455E9">
              <w:rPr>
                <w:rFonts w:ascii="Open Sans" w:hAnsi="Open Sans" w:cs="Open Sans"/>
                <w:color w:val="17365D" w:themeColor="text2" w:themeShade="BF"/>
              </w:rPr>
              <w:t>situațiile de urgență</w:t>
            </w:r>
          </w:p>
          <w:p w14:paraId="65177F87" w14:textId="77777777" w:rsidR="00F620F9" w:rsidRPr="005455E9" w:rsidRDefault="00000000" w:rsidP="005455E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2" w:lineRule="atLeast"/>
              <w:ind w:right="95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 w:rsidRPr="005455E9">
              <w:rPr>
                <w:rFonts w:ascii="Open Sans" w:hAnsi="Open Sans" w:cs="Open Sans"/>
                <w:color w:val="17365D" w:themeColor="text2" w:themeShade="BF"/>
              </w:rPr>
              <w:t>Organizarea instruirii comune pentru personalul specializat și voluntar (Instruire 1 - intervenție la accidente feroviare și rutiere - Timișoara timp de 5 zile; Instruire 2 - managementul intervenției - Timișoara timp de 5 zile)</w:t>
            </w:r>
          </w:p>
          <w:p w14:paraId="51844A2A" w14:textId="77777777" w:rsidR="00F620F9" w:rsidRPr="005455E9" w:rsidRDefault="00000000" w:rsidP="00545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2" w:lineRule="atLeast"/>
              <w:ind w:left="827" w:hanging="359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 w:rsidRPr="005455E9">
              <w:rPr>
                <w:rFonts w:ascii="Open Sans" w:hAnsi="Open Sans" w:cs="Open Sans"/>
                <w:color w:val="17365D" w:themeColor="text2" w:themeShade="BF"/>
              </w:rPr>
              <w:t>Organizarea a trei cursuri de formare a cadrelor didactice în județele</w:t>
            </w:r>
          </w:p>
          <w:p w14:paraId="5B1E0B37" w14:textId="77777777" w:rsidR="00F620F9" w:rsidRPr="005455E9" w:rsidRDefault="00000000" w:rsidP="005455E9">
            <w:pPr>
              <w:pStyle w:val="TableParagraph"/>
              <w:spacing w:line="22" w:lineRule="atLeast"/>
              <w:ind w:left="828" w:right="42"/>
              <w:rPr>
                <w:rFonts w:ascii="Open Sans" w:hAnsi="Open Sans" w:cs="Open Sans"/>
                <w:color w:val="17365D" w:themeColor="text2" w:themeShade="BF"/>
              </w:rPr>
            </w:pPr>
            <w:r w:rsidRPr="005455E9">
              <w:rPr>
                <w:rFonts w:ascii="Open Sans" w:hAnsi="Open Sans" w:cs="Open Sans"/>
                <w:color w:val="17365D" w:themeColor="text2" w:themeShade="BF"/>
              </w:rPr>
              <w:t>Csongrád-Csanád (1), Arad (1) și Timiș (1) pentru a prezenta și demonstra curricula pentru profesorii care vor organiza cursuri speciale în școli în domeniul prevenirii riscurilor și situațiilor de urgență</w:t>
            </w:r>
          </w:p>
          <w:p w14:paraId="2AA134A4" w14:textId="77777777" w:rsidR="00F620F9" w:rsidRPr="005455E9" w:rsidRDefault="00000000" w:rsidP="005455E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2" w:lineRule="atLeast"/>
              <w:ind w:right="102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 w:rsidRPr="005455E9">
              <w:rPr>
                <w:rFonts w:ascii="Open Sans" w:hAnsi="Open Sans" w:cs="Open Sans"/>
                <w:color w:val="17365D" w:themeColor="text2" w:themeShade="BF"/>
              </w:rPr>
              <w:t>Organizarea unor zile dedicate sensibilizării cetățenilor privind comportamentul optim în situații de urgență - 15 zile</w:t>
            </w:r>
          </w:p>
          <w:p w14:paraId="056D547E" w14:textId="77777777" w:rsidR="00F620F9" w:rsidRPr="005455E9" w:rsidRDefault="00000000" w:rsidP="005455E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2" w:lineRule="atLeast"/>
              <w:ind w:right="94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 w:rsidRPr="005455E9">
              <w:rPr>
                <w:rFonts w:ascii="Open Sans" w:hAnsi="Open Sans" w:cs="Open Sans"/>
                <w:color w:val="17365D" w:themeColor="text2" w:themeShade="BF"/>
              </w:rPr>
              <w:t>Elaborarea Strategiei de gestionare a riscurilor pe baza analizelor efectuate și a concluziilor desprinse în cadrul celor 6 ateliere de lucru organizate</w:t>
            </w:r>
          </w:p>
          <w:p w14:paraId="4E4F223D" w14:textId="298F4494" w:rsidR="00F620F9" w:rsidRPr="005455E9" w:rsidRDefault="00000000" w:rsidP="005455E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2" w:lineRule="atLeast"/>
              <w:ind w:right="97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 w:rsidRPr="005455E9">
              <w:rPr>
                <w:rFonts w:ascii="Open Sans" w:hAnsi="Open Sans" w:cs="Open Sans"/>
                <w:color w:val="17365D" w:themeColor="text2" w:themeShade="BF"/>
              </w:rPr>
              <w:t xml:space="preserve">Seminar și practică de 2 zile </w:t>
            </w:r>
            <w:r w:rsidR="005455E9">
              <w:rPr>
                <w:rFonts w:ascii="Open Sans" w:hAnsi="Open Sans" w:cs="Open Sans"/>
                <w:color w:val="17365D" w:themeColor="text2" w:themeShade="BF"/>
              </w:rPr>
              <w:t>organizate</w:t>
            </w:r>
            <w:r w:rsidRPr="005455E9">
              <w:rPr>
                <w:rFonts w:ascii="Open Sans" w:hAnsi="Open Sans" w:cs="Open Sans"/>
                <w:color w:val="17365D" w:themeColor="text2" w:themeShade="BF"/>
              </w:rPr>
              <w:t xml:space="preserve"> în Mórahalom pentru pompierii din cele 3 județe. Scopul seminarului și al practicii </w:t>
            </w:r>
            <w:r w:rsidR="005455E9">
              <w:rPr>
                <w:rFonts w:ascii="Open Sans" w:hAnsi="Open Sans" w:cs="Open Sans"/>
                <w:color w:val="17365D" w:themeColor="text2" w:themeShade="BF"/>
              </w:rPr>
              <w:t>a fost</w:t>
            </w:r>
            <w:r w:rsidRPr="005455E9">
              <w:rPr>
                <w:rFonts w:ascii="Open Sans" w:hAnsi="Open Sans" w:cs="Open Sans"/>
                <w:color w:val="17365D" w:themeColor="text2" w:themeShade="BF"/>
              </w:rPr>
              <w:t xml:space="preserve"> de a face schimb de cunoștințe privind operațiunile pompierilor din România și Ungaria, analizând in același timp contextul juridic și financiar</w:t>
            </w:r>
          </w:p>
          <w:p w14:paraId="4575A03A" w14:textId="4A4CF353" w:rsidR="00F620F9" w:rsidRPr="005455E9" w:rsidRDefault="00000000" w:rsidP="005455E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85"/>
              </w:tabs>
              <w:spacing w:line="22" w:lineRule="atLeast"/>
              <w:ind w:right="98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 w:rsidRPr="005455E9">
              <w:rPr>
                <w:rFonts w:ascii="Open Sans" w:hAnsi="Open Sans" w:cs="Open Sans"/>
                <w:color w:val="17365D" w:themeColor="text2" w:themeShade="BF"/>
              </w:rPr>
              <w:t>Organizarea unui tur de studiu de 2 zile în România (1 zi în județul Arad, 1 zi în județul Timiș) pentru a investiga și testa noul echipament</w:t>
            </w:r>
          </w:p>
        </w:tc>
      </w:tr>
      <w:tr w:rsidR="005455E9" w:rsidRPr="005455E9" w14:paraId="2D057213" w14:textId="77777777">
        <w:trPr>
          <w:trHeight w:val="3295"/>
        </w:trPr>
        <w:tc>
          <w:tcPr>
            <w:tcW w:w="2148" w:type="dxa"/>
            <w:shd w:val="clear" w:color="auto" w:fill="D9D9D9"/>
          </w:tcPr>
          <w:p w14:paraId="660A9207" w14:textId="77777777" w:rsidR="00F620F9" w:rsidRPr="005455E9" w:rsidRDefault="00F620F9" w:rsidP="005455E9">
            <w:pPr>
              <w:pStyle w:val="TableParagraph"/>
              <w:spacing w:line="22" w:lineRule="atLeast"/>
              <w:ind w:left="0"/>
              <w:rPr>
                <w:rFonts w:ascii="Open Sans" w:hAnsi="Open Sans" w:cs="Open Sans"/>
                <w:color w:val="17365D" w:themeColor="text2" w:themeShade="BF"/>
              </w:rPr>
            </w:pPr>
          </w:p>
          <w:p w14:paraId="3E910E6E" w14:textId="77777777" w:rsidR="00F620F9" w:rsidRPr="005455E9" w:rsidRDefault="00F620F9" w:rsidP="005455E9">
            <w:pPr>
              <w:pStyle w:val="TableParagraph"/>
              <w:spacing w:line="22" w:lineRule="atLeast"/>
              <w:ind w:left="0"/>
              <w:rPr>
                <w:rFonts w:ascii="Open Sans" w:hAnsi="Open Sans" w:cs="Open Sans"/>
                <w:color w:val="17365D" w:themeColor="text2" w:themeShade="BF"/>
              </w:rPr>
            </w:pPr>
          </w:p>
          <w:p w14:paraId="5DE35D6A" w14:textId="77777777" w:rsidR="00F620F9" w:rsidRPr="005455E9" w:rsidRDefault="00F620F9" w:rsidP="005455E9">
            <w:pPr>
              <w:pStyle w:val="TableParagraph"/>
              <w:spacing w:line="22" w:lineRule="atLeast"/>
              <w:ind w:left="0"/>
              <w:rPr>
                <w:rFonts w:ascii="Open Sans" w:hAnsi="Open Sans" w:cs="Open Sans"/>
                <w:color w:val="17365D" w:themeColor="text2" w:themeShade="BF"/>
              </w:rPr>
            </w:pPr>
          </w:p>
          <w:p w14:paraId="768381F9" w14:textId="77777777" w:rsidR="00F620F9" w:rsidRPr="005455E9" w:rsidRDefault="00F620F9" w:rsidP="005455E9">
            <w:pPr>
              <w:pStyle w:val="TableParagraph"/>
              <w:spacing w:line="22" w:lineRule="atLeast"/>
              <w:ind w:left="0"/>
              <w:rPr>
                <w:rFonts w:ascii="Open Sans" w:hAnsi="Open Sans" w:cs="Open Sans"/>
                <w:color w:val="17365D" w:themeColor="text2" w:themeShade="BF"/>
              </w:rPr>
            </w:pPr>
          </w:p>
          <w:p w14:paraId="2E1E1ED3" w14:textId="77777777" w:rsidR="00F620F9" w:rsidRPr="005455E9" w:rsidRDefault="00F620F9" w:rsidP="005455E9">
            <w:pPr>
              <w:pStyle w:val="TableParagraph"/>
              <w:spacing w:line="22" w:lineRule="atLeast"/>
              <w:ind w:left="0"/>
              <w:rPr>
                <w:rFonts w:ascii="Open Sans" w:hAnsi="Open Sans" w:cs="Open Sans"/>
                <w:color w:val="17365D" w:themeColor="text2" w:themeShade="BF"/>
              </w:rPr>
            </w:pPr>
          </w:p>
          <w:p w14:paraId="549157BF" w14:textId="77777777" w:rsidR="00F620F9" w:rsidRPr="005455E9" w:rsidRDefault="00000000" w:rsidP="005455E9">
            <w:pPr>
              <w:pStyle w:val="TableParagraph"/>
              <w:spacing w:line="22" w:lineRule="atLeast"/>
              <w:ind w:left="107"/>
              <w:rPr>
                <w:rFonts w:ascii="Open Sans" w:hAnsi="Open Sans" w:cs="Open Sans"/>
                <w:color w:val="17365D" w:themeColor="text2" w:themeShade="BF"/>
              </w:rPr>
            </w:pPr>
            <w:r w:rsidRPr="005455E9">
              <w:rPr>
                <w:rFonts w:ascii="Open Sans" w:hAnsi="Open Sans" w:cs="Open Sans"/>
                <w:color w:val="17365D" w:themeColor="text2" w:themeShade="BF"/>
              </w:rPr>
              <w:t>Principale rezultate</w:t>
            </w:r>
          </w:p>
        </w:tc>
        <w:tc>
          <w:tcPr>
            <w:tcW w:w="8372" w:type="dxa"/>
          </w:tcPr>
          <w:p w14:paraId="6215B068" w14:textId="4938316B" w:rsidR="005455E9" w:rsidRDefault="005455E9" w:rsidP="005455E9">
            <w:pPr>
              <w:pStyle w:val="TableParagraph"/>
              <w:spacing w:line="22" w:lineRule="atLeast"/>
              <w:jc w:val="both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Livrabile:</w:t>
            </w:r>
          </w:p>
          <w:p w14:paraId="35EA564B" w14:textId="77777777" w:rsidR="005455E9" w:rsidRPr="005455E9" w:rsidRDefault="005455E9" w:rsidP="005455E9">
            <w:pPr>
              <w:pStyle w:val="TableParagraph"/>
              <w:spacing w:line="22" w:lineRule="atLeast"/>
              <w:ind w:right="96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 w:rsidRPr="005455E9">
              <w:rPr>
                <w:rFonts w:ascii="Open Sans" w:hAnsi="Open Sans" w:cs="Open Sans"/>
                <w:color w:val="17365D" w:themeColor="text2" w:themeShade="BF"/>
              </w:rPr>
              <w:t>1) Echiparea pentru intervenții de urgență în județul Timiș (3 autovehicule de intervenție complexă), județul Arad (3 ambulanțe de intervenție de urgență, 1 autovehicul de stingere a incendiilor, 1 autobuz pentru transportul personalului, 19 paturi de terapie intensivă, 50 injectomate, 35 infuzomate, 2 ventilatoare de transport, 8 monitoare pentru funcții vitale, 3 stații centrale de monitorizare, 5 monitoare de transport, 2 targi pentru transportul pacienților (economice), 2 targi pentru transportul pacienților (premium), 2 defibrilatoare, 1 set de intubație dificilă și aspirator de secreții, 1 aparat EKG portabil, 25 standuri de perfuzie, 2 dulapuri cu medicamente) și județul Csongrad (autovehicul universal cu dispozitive suplimentare care ajută și asigură misiuni și aplicații multifuncționale de gestionare a dezastrelor);</w:t>
            </w:r>
          </w:p>
          <w:p w14:paraId="79FD572E" w14:textId="77777777" w:rsidR="005455E9" w:rsidRPr="005455E9" w:rsidRDefault="005455E9" w:rsidP="005455E9">
            <w:pPr>
              <w:pStyle w:val="TableParagraph"/>
              <w:spacing w:line="22" w:lineRule="atLeast"/>
              <w:ind w:right="96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 w:rsidRPr="005455E9">
              <w:rPr>
                <w:rFonts w:ascii="Open Sans" w:hAnsi="Open Sans" w:cs="Open Sans"/>
                <w:color w:val="17365D" w:themeColor="text2" w:themeShade="BF"/>
              </w:rPr>
              <w:t xml:space="preserve">2) Activități educaționale comune organizate, după cum urmează: 3 traininguri în domeniul prevenirii riscurilor și situațiilor de urgență, 4 concursuri și tabere comune pentru situații de urgență pentru elevi și 2 traininguri comune pentru personal specializat și voluntar în situații de urgență) pentru 574 de participanți; 3) 5 Schimb comun de experiență (seminarii comune pentru brigăzile de pompieri din cele 3 județe, vizită de studiu în România pentru investigarea și testarea noilor echipamente, exerciții tactice comune pentru brigăzile operative, zile de conștientizare a cetățenilor cu privire la </w:t>
            </w:r>
            <w:r w:rsidRPr="005455E9">
              <w:rPr>
                <w:rFonts w:ascii="Open Sans" w:hAnsi="Open Sans" w:cs="Open Sans"/>
                <w:color w:val="17365D" w:themeColor="text2" w:themeShade="BF"/>
              </w:rPr>
              <w:lastRenderedPageBreak/>
              <w:t>comportamentul optim în caz de urgență) pentru 1990 de participanți;</w:t>
            </w:r>
          </w:p>
          <w:p w14:paraId="477A9F69" w14:textId="3C30CDB7" w:rsidR="005455E9" w:rsidRPr="005455E9" w:rsidRDefault="005455E9" w:rsidP="005455E9">
            <w:pPr>
              <w:pStyle w:val="TableParagraph"/>
              <w:spacing w:line="22" w:lineRule="atLeast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 w:rsidRPr="005455E9">
              <w:rPr>
                <w:rFonts w:ascii="Open Sans" w:hAnsi="Open Sans" w:cs="Open Sans"/>
                <w:color w:val="17365D" w:themeColor="text2" w:themeShade="BF"/>
              </w:rPr>
              <w:t>4) Strategi</w:t>
            </w:r>
            <w:r>
              <w:rPr>
                <w:rFonts w:ascii="Open Sans" w:hAnsi="Open Sans" w:cs="Open Sans"/>
                <w:color w:val="17365D" w:themeColor="text2" w:themeShade="BF"/>
              </w:rPr>
              <w:t>a</w:t>
            </w:r>
            <w:r w:rsidRPr="005455E9">
              <w:rPr>
                <w:rFonts w:ascii="Open Sans" w:hAnsi="Open Sans" w:cs="Open Sans"/>
                <w:color w:val="17365D" w:themeColor="text2" w:themeShade="BF"/>
              </w:rPr>
              <w:t xml:space="preserve"> de Management al Riscului</w:t>
            </w:r>
            <w:r>
              <w:rPr>
                <w:rFonts w:ascii="Open Sans" w:hAnsi="Open Sans" w:cs="Open Sans"/>
                <w:color w:val="17365D" w:themeColor="text2" w:themeShade="BF"/>
              </w:rPr>
              <w:t xml:space="preserve"> elaborată în comun</w:t>
            </w:r>
            <w:r w:rsidRPr="005455E9">
              <w:rPr>
                <w:rFonts w:ascii="Open Sans" w:hAnsi="Open Sans" w:cs="Open Sans"/>
                <w:color w:val="17365D" w:themeColor="text2" w:themeShade="BF"/>
              </w:rPr>
              <w:t xml:space="preserve"> (</w:t>
            </w:r>
            <w:r>
              <w:rPr>
                <w:rFonts w:ascii="Open Sans" w:hAnsi="Open Sans" w:cs="Open Sans"/>
                <w:color w:val="17365D" w:themeColor="text2" w:themeShade="BF"/>
              </w:rPr>
              <w:t>propune dezvoltarea cooperării transfrontaliere</w:t>
            </w:r>
            <w:r w:rsidRPr="005455E9">
              <w:rPr>
                <w:rFonts w:ascii="Open Sans" w:hAnsi="Open Sans" w:cs="Open Sans"/>
                <w:color w:val="17365D" w:themeColor="text2" w:themeShade="BF"/>
              </w:rPr>
              <w:t xml:space="preserve"> între instituțiile responsabile de managementul riscului în județele Arad, Csongrád și Timiș) prin ateliere de lucru privind controlul transfrontalier la care au participat 252 de participanți.</w:t>
            </w:r>
          </w:p>
          <w:p w14:paraId="794701C5" w14:textId="77777777" w:rsidR="005455E9" w:rsidRDefault="005455E9" w:rsidP="005455E9">
            <w:pPr>
              <w:pStyle w:val="TableParagraph"/>
              <w:spacing w:line="22" w:lineRule="atLeast"/>
              <w:jc w:val="both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</w:p>
          <w:p w14:paraId="66E02515" w14:textId="6636DEFE" w:rsidR="00F620F9" w:rsidRPr="005455E9" w:rsidRDefault="00000000" w:rsidP="005455E9">
            <w:pPr>
              <w:pStyle w:val="TableParagraph"/>
              <w:spacing w:line="22" w:lineRule="atLeast"/>
              <w:jc w:val="both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5455E9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Principalele rezultate ale proiectului:</w:t>
            </w:r>
          </w:p>
          <w:p w14:paraId="70AB574B" w14:textId="35D23224" w:rsidR="005455E9" w:rsidRPr="005455E9" w:rsidRDefault="005455E9" w:rsidP="005455E9">
            <w:pPr>
              <w:pStyle w:val="TableParagraph"/>
              <w:spacing w:line="22" w:lineRule="atLeast"/>
              <w:ind w:right="96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 w:rsidRPr="005455E9">
              <w:rPr>
                <w:rFonts w:ascii="Open Sans" w:hAnsi="Open Sans" w:cs="Open Sans"/>
                <w:color w:val="17365D" w:themeColor="text2" w:themeShade="BF"/>
              </w:rPr>
              <w:t>- Îmbunătățirea prevenirii riscurilor și a managementului dezastrelor de către serviciile de urgență din județele Timiș, Arad și Csongrad, realizată prin achiziționarea echipamentelor speciale de intervenție.</w:t>
            </w:r>
          </w:p>
          <w:p w14:paraId="665B77F6" w14:textId="77777777" w:rsidR="005455E9" w:rsidRPr="005455E9" w:rsidRDefault="005455E9" w:rsidP="005455E9">
            <w:pPr>
              <w:pStyle w:val="TableParagraph"/>
              <w:spacing w:line="22" w:lineRule="atLeast"/>
              <w:ind w:right="96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 w:rsidRPr="005455E9">
              <w:rPr>
                <w:rFonts w:ascii="Open Sans" w:hAnsi="Open Sans" w:cs="Open Sans"/>
                <w:color w:val="17365D" w:themeColor="text2" w:themeShade="BF"/>
              </w:rPr>
              <w:t>- Îmbunătățirea capacității operaționale a brigăzilor din cele 3 județe prin intermediul seminarului și practicii de 2 zile de la Mórahalom, a călătoriei de studiu de 2 zile în România și a 2 exerciții tactice comune organizate.</w:t>
            </w:r>
          </w:p>
          <w:p w14:paraId="209B1616" w14:textId="74C60DBD" w:rsidR="005455E9" w:rsidRPr="005455E9" w:rsidRDefault="005455E9" w:rsidP="005455E9">
            <w:pPr>
              <w:pStyle w:val="TableParagraph"/>
              <w:spacing w:line="22" w:lineRule="atLeast"/>
              <w:ind w:right="96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 w:rsidRPr="005455E9">
              <w:rPr>
                <w:rFonts w:ascii="Open Sans" w:hAnsi="Open Sans" w:cs="Open Sans"/>
                <w:color w:val="17365D" w:themeColor="text2" w:themeShade="BF"/>
              </w:rPr>
              <w:t>- Creșterea gradului de conștientizare a populației din județele Arad, Timiș și Csongrad cu privire la managementul prevenirii riscurilor prin campanii</w:t>
            </w:r>
            <w:r w:rsidR="00181CEF">
              <w:rPr>
                <w:rFonts w:ascii="Open Sans" w:hAnsi="Open Sans" w:cs="Open Sans"/>
                <w:color w:val="17365D" w:themeColor="text2" w:themeShade="BF"/>
              </w:rPr>
              <w:t>le</w:t>
            </w:r>
            <w:r w:rsidRPr="005455E9">
              <w:rPr>
                <w:rFonts w:ascii="Open Sans" w:hAnsi="Open Sans" w:cs="Open Sans"/>
                <w:color w:val="17365D" w:themeColor="text2" w:themeShade="BF"/>
              </w:rPr>
              <w:t xml:space="preserve"> de conștientizare organizate.</w:t>
            </w:r>
          </w:p>
          <w:p w14:paraId="55BBD462" w14:textId="77777777" w:rsidR="005455E9" w:rsidRPr="005455E9" w:rsidRDefault="005455E9" w:rsidP="005455E9">
            <w:pPr>
              <w:pStyle w:val="TableParagraph"/>
              <w:spacing w:line="22" w:lineRule="atLeast"/>
              <w:ind w:right="96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</w:p>
          <w:p w14:paraId="6D85A5A3" w14:textId="33664722" w:rsidR="00181CEF" w:rsidRPr="00181CEF" w:rsidRDefault="00181CEF" w:rsidP="00181CEF">
            <w:pPr>
              <w:pStyle w:val="TableParagraph"/>
              <w:spacing w:line="22" w:lineRule="atLeast"/>
              <w:ind w:right="96"/>
              <w:jc w:val="both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181CEF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Indicator de realizare</w:t>
            </w:r>
          </w:p>
          <w:p w14:paraId="323B6E5B" w14:textId="638B815A" w:rsidR="00F620F9" w:rsidRPr="005455E9" w:rsidRDefault="005455E9" w:rsidP="00181CEF">
            <w:pPr>
              <w:pStyle w:val="TableParagraph"/>
              <w:spacing w:line="22" w:lineRule="atLeast"/>
              <w:ind w:right="96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 w:rsidRPr="005455E9">
              <w:rPr>
                <w:rFonts w:ascii="Open Sans" w:hAnsi="Open Sans" w:cs="Open Sans"/>
                <w:color w:val="17365D" w:themeColor="text2" w:themeShade="BF"/>
              </w:rPr>
              <w:t>Indicatorul de realizare (output) al programului este 5/b1 „</w:t>
            </w:r>
            <w:r w:rsidRPr="005455E9">
              <w:rPr>
                <w:rFonts w:ascii="Open Sans" w:hAnsi="Open Sans" w:cs="Open Sans"/>
                <w:i/>
                <w:color w:val="17365D" w:themeColor="text2" w:themeShade="BF"/>
              </w:rPr>
              <w:t xml:space="preserve">Populația protejată prin servicii îmbunătățite de intervenție în caz de urgență”. </w:t>
            </w:r>
            <w:r w:rsidRPr="005455E9">
              <w:rPr>
                <w:rFonts w:ascii="Open Sans" w:hAnsi="Open Sans" w:cs="Open Sans"/>
                <w:color w:val="17365D" w:themeColor="text2" w:themeShade="BF"/>
              </w:rPr>
              <w:t xml:space="preserve">Prin proiectul ROHU-72, </w:t>
            </w:r>
            <w:r w:rsidR="00181CEF" w:rsidRPr="006649BB">
              <w:rPr>
                <w:rFonts w:ascii="Open Sans" w:hAnsi="Open Sans" w:cs="Open Sans"/>
                <w:color w:val="17365D" w:themeColor="text2" w:themeShade="BF"/>
              </w:rPr>
              <w:t>1,245,760</w:t>
            </w:r>
            <w:r w:rsidR="00181CE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455E9">
              <w:rPr>
                <w:rFonts w:ascii="Open Sans" w:hAnsi="Open Sans" w:cs="Open Sans"/>
                <w:color w:val="17365D" w:themeColor="text2" w:themeShade="BF"/>
              </w:rPr>
              <w:t>cetățeni din cele 3 județe partenere în proiect, beneficiază de o protecție</w:t>
            </w:r>
            <w:r w:rsidR="00181CEF">
              <w:rPr>
                <w:rFonts w:ascii="Open Sans" w:hAnsi="Open Sans" w:cs="Open Sans"/>
                <w:color w:val="17365D" w:themeColor="text2" w:themeShade="BF"/>
              </w:rPr>
              <w:t xml:space="preserve"> </w:t>
            </w:r>
            <w:r w:rsidRPr="005455E9">
              <w:rPr>
                <w:rFonts w:ascii="Open Sans" w:hAnsi="Open Sans" w:cs="Open Sans"/>
                <w:color w:val="17365D" w:themeColor="text2" w:themeShade="BF"/>
              </w:rPr>
              <w:t>sporită în cazul situațiilor de urgență.</w:t>
            </w:r>
          </w:p>
        </w:tc>
      </w:tr>
    </w:tbl>
    <w:p w14:paraId="44F614A6" w14:textId="77777777" w:rsidR="000C7700" w:rsidRDefault="000C7700"/>
    <w:sectPr w:rsidR="000C7700">
      <w:type w:val="continuous"/>
      <w:pgSz w:w="11910" w:h="16840"/>
      <w:pgMar w:top="1560" w:right="566" w:bottom="660" w:left="708" w:header="345" w:footer="4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57D17" w14:textId="77777777" w:rsidR="000C7700" w:rsidRDefault="000C7700">
      <w:r>
        <w:separator/>
      </w:r>
    </w:p>
  </w:endnote>
  <w:endnote w:type="continuationSeparator" w:id="0">
    <w:p w14:paraId="7E1ED19C" w14:textId="77777777" w:rsidR="000C7700" w:rsidRDefault="000C7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6C07B" w14:textId="77777777" w:rsidR="00F620F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71009492" wp14:editId="3E509A27">
              <wp:simplePos x="0" y="0"/>
              <wp:positionH relativeFrom="page">
                <wp:posOffset>5325236</wp:posOffset>
              </wp:positionH>
              <wp:positionV relativeFrom="page">
                <wp:posOffset>10256142</wp:posOffset>
              </wp:positionV>
              <wp:extent cx="1333500" cy="1981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350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1AF1B2" w14:textId="77777777" w:rsidR="00F620F9" w:rsidRDefault="00000000">
                          <w:pPr>
                            <w:pStyle w:val="BodyText"/>
                            <w:spacing w:before="13" w:line="298" w:lineRule="exact"/>
                            <w:ind w:left="20"/>
                            <w:rPr>
                              <w:rFonts w:ascii="Lucida Sans Unicode"/>
                            </w:rPr>
                          </w:pPr>
                          <w:hyperlink r:id="rId1">
                            <w:r>
                              <w:rPr>
                                <w:rFonts w:ascii="Lucida Sans Unicode"/>
                                <w:color w:val="003399"/>
                                <w:w w:val="90"/>
                              </w:rPr>
                              <w:t>www.interreg-</w:t>
                            </w:r>
                            <w:r>
                              <w:rPr>
                                <w:rFonts w:ascii="Lucida Sans Unicode"/>
                                <w:color w:val="003399"/>
                                <w:spacing w:val="-2"/>
                              </w:rPr>
                              <w:t>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00949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19.3pt;margin-top:807.55pt;width:105pt;height:15.6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" filled="f" stroked="f">
              <v:textbox inset="0,0,0,0">
                <w:txbxContent>
                  <w:p w14:paraId="2F1AF1B2" w14:textId="77777777" w:rsidR="00F620F9" w:rsidRDefault="00000000">
                    <w:pPr>
                      <w:pStyle w:val="BodyText"/>
                      <w:spacing w:before="13" w:line="298" w:lineRule="exact"/>
                      <w:ind w:left="20"/>
                      <w:rPr>
                        <w:rFonts w:ascii="Lucida Sans Unicode"/>
                      </w:rPr>
                    </w:pPr>
                    <w:hyperlink r:id="rId2">
                      <w:r>
                        <w:rPr>
                          <w:rFonts w:ascii="Lucida Sans Unicode"/>
                          <w:color w:val="003399"/>
                          <w:w w:val="90"/>
                        </w:rPr>
                        <w:t>www.interreg-</w:t>
                      </w:r>
                      <w:r>
                        <w:rPr>
                          <w:rFonts w:ascii="Lucida Sans Unicode"/>
                          <w:color w:val="003399"/>
                          <w:spacing w:val="-2"/>
                        </w:rPr>
                        <w:t>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992" behindDoc="1" locked="0" layoutInCell="1" allowOverlap="1" wp14:anchorId="3536A069" wp14:editId="0BB4B89C">
              <wp:simplePos x="0" y="0"/>
              <wp:positionH relativeFrom="page">
                <wp:posOffset>902004</wp:posOffset>
              </wp:positionH>
              <wp:positionV relativeFrom="page">
                <wp:posOffset>10276833</wp:posOffset>
              </wp:positionV>
              <wp:extent cx="2007235" cy="16700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72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04A09F" w14:textId="77777777" w:rsidR="00F620F9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003399"/>
                            </w:rPr>
                            <w:t>Parteneriat</w:t>
                          </w:r>
                          <w:r>
                            <w:rPr>
                              <w:color w:val="003399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pentru</w:t>
                          </w:r>
                          <w:r>
                            <w:rPr>
                              <w:color w:val="003399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un</w:t>
                          </w:r>
                          <w:r>
                            <w:rPr>
                              <w:color w:val="003399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viitor</w:t>
                          </w:r>
                          <w:r>
                            <w:rPr>
                              <w:color w:val="00339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mai</w:t>
                          </w:r>
                          <w:r>
                            <w:rPr>
                              <w:color w:val="003399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5"/>
                            </w:rPr>
                            <w:t>bun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36A069" id="Textbox 5" o:spid="_x0000_s1027" type="#_x0000_t202" style="position:absolute;margin-left:71pt;margin-top:809.2pt;width:158.05pt;height:13.15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" filled="f" stroked="f">
              <v:textbox inset="0,0,0,0">
                <w:txbxContent>
                  <w:p w14:paraId="0104A09F" w14:textId="77777777" w:rsidR="00F620F9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003399"/>
                      </w:rPr>
                      <w:t>Parteneriat</w:t>
                    </w:r>
                    <w:r>
                      <w:rPr>
                        <w:color w:val="003399"/>
                        <w:spacing w:val="-7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pentru</w:t>
                    </w:r>
                    <w:r>
                      <w:rPr>
                        <w:color w:val="003399"/>
                        <w:spacing w:val="-5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un</w:t>
                    </w:r>
                    <w:r>
                      <w:rPr>
                        <w:color w:val="003399"/>
                        <w:spacing w:val="-5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viitor</w:t>
                    </w:r>
                    <w:r>
                      <w:rPr>
                        <w:color w:val="003399"/>
                        <w:spacing w:val="-4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mai</w:t>
                    </w:r>
                    <w:r>
                      <w:rPr>
                        <w:color w:val="003399"/>
                        <w:spacing w:val="-8"/>
                      </w:rPr>
                      <w:t xml:space="preserve"> </w:t>
                    </w:r>
                    <w:r>
                      <w:rPr>
                        <w:color w:val="003399"/>
                        <w:spacing w:val="-5"/>
                      </w:rPr>
                      <w:t>bun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F8B7C" w14:textId="77777777" w:rsidR="000C7700" w:rsidRDefault="000C7700">
      <w:r>
        <w:separator/>
      </w:r>
    </w:p>
  </w:footnote>
  <w:footnote w:type="continuationSeparator" w:id="0">
    <w:p w14:paraId="78DE156A" w14:textId="77777777" w:rsidR="000C7700" w:rsidRDefault="000C7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90D8" w14:textId="77777777" w:rsidR="00F620F9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48512" behindDoc="1" locked="0" layoutInCell="1" allowOverlap="1" wp14:anchorId="01413EB7" wp14:editId="3F0F915A">
          <wp:simplePos x="0" y="0"/>
          <wp:positionH relativeFrom="page">
            <wp:posOffset>6190234</wp:posOffset>
          </wp:positionH>
          <wp:positionV relativeFrom="page">
            <wp:posOffset>219062</wp:posOffset>
          </wp:positionV>
          <wp:extent cx="358546" cy="36837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8546" cy="368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3632" behindDoc="1" locked="0" layoutInCell="1" allowOverlap="1" wp14:anchorId="5347FD3E" wp14:editId="0BCB06C6">
          <wp:simplePos x="0" y="0"/>
          <wp:positionH relativeFrom="page">
            <wp:posOffset>5740908</wp:posOffset>
          </wp:positionH>
          <wp:positionV relativeFrom="page">
            <wp:posOffset>252094</wp:posOffset>
          </wp:positionV>
          <wp:extent cx="295275" cy="29527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5275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752" behindDoc="1" locked="0" layoutInCell="1" allowOverlap="1" wp14:anchorId="06CF85D7" wp14:editId="624E4D83">
          <wp:simplePos x="0" y="0"/>
          <wp:positionH relativeFrom="page">
            <wp:posOffset>847725</wp:posOffset>
          </wp:positionH>
          <wp:positionV relativeFrom="page">
            <wp:posOffset>267982</wp:posOffset>
          </wp:positionV>
          <wp:extent cx="2879598" cy="669277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879598" cy="6692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F0D7D"/>
    <w:multiLevelType w:val="hybridMultilevel"/>
    <w:tmpl w:val="42F071F4"/>
    <w:lvl w:ilvl="0" w:tplc="148ED076">
      <w:numFmt w:val="bullet"/>
      <w:lvlText w:val=""/>
      <w:lvlJc w:val="left"/>
      <w:pPr>
        <w:ind w:left="118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E2A75"/>
        <w:spacing w:val="0"/>
        <w:w w:val="100"/>
        <w:sz w:val="22"/>
        <w:szCs w:val="22"/>
        <w:lang w:val="ro-RO" w:eastAsia="en-US" w:bidi="ar-SA"/>
      </w:rPr>
    </w:lvl>
    <w:lvl w:ilvl="1" w:tplc="BBCC19F8">
      <w:numFmt w:val="bullet"/>
      <w:lvlText w:val="•"/>
      <w:lvlJc w:val="left"/>
      <w:pPr>
        <w:ind w:left="1898" w:hanging="361"/>
      </w:pPr>
      <w:rPr>
        <w:rFonts w:hint="default"/>
        <w:lang w:val="ro-RO" w:eastAsia="en-US" w:bidi="ar-SA"/>
      </w:rPr>
    </w:lvl>
    <w:lvl w:ilvl="2" w:tplc="B016B3C6">
      <w:numFmt w:val="bullet"/>
      <w:lvlText w:val="•"/>
      <w:lvlJc w:val="left"/>
      <w:pPr>
        <w:ind w:left="2616" w:hanging="361"/>
      </w:pPr>
      <w:rPr>
        <w:rFonts w:hint="default"/>
        <w:lang w:val="ro-RO" w:eastAsia="en-US" w:bidi="ar-SA"/>
      </w:rPr>
    </w:lvl>
    <w:lvl w:ilvl="3" w:tplc="6270EA6A">
      <w:numFmt w:val="bullet"/>
      <w:lvlText w:val="•"/>
      <w:lvlJc w:val="left"/>
      <w:pPr>
        <w:ind w:left="3334" w:hanging="361"/>
      </w:pPr>
      <w:rPr>
        <w:rFonts w:hint="default"/>
        <w:lang w:val="ro-RO" w:eastAsia="en-US" w:bidi="ar-SA"/>
      </w:rPr>
    </w:lvl>
    <w:lvl w:ilvl="4" w:tplc="923C921C">
      <w:numFmt w:val="bullet"/>
      <w:lvlText w:val="•"/>
      <w:lvlJc w:val="left"/>
      <w:pPr>
        <w:ind w:left="4052" w:hanging="361"/>
      </w:pPr>
      <w:rPr>
        <w:rFonts w:hint="default"/>
        <w:lang w:val="ro-RO" w:eastAsia="en-US" w:bidi="ar-SA"/>
      </w:rPr>
    </w:lvl>
    <w:lvl w:ilvl="5" w:tplc="ADFE5A22">
      <w:numFmt w:val="bullet"/>
      <w:lvlText w:val="•"/>
      <w:lvlJc w:val="left"/>
      <w:pPr>
        <w:ind w:left="4771" w:hanging="361"/>
      </w:pPr>
      <w:rPr>
        <w:rFonts w:hint="default"/>
        <w:lang w:val="ro-RO" w:eastAsia="en-US" w:bidi="ar-SA"/>
      </w:rPr>
    </w:lvl>
    <w:lvl w:ilvl="6" w:tplc="1FBE1482">
      <w:numFmt w:val="bullet"/>
      <w:lvlText w:val="•"/>
      <w:lvlJc w:val="left"/>
      <w:pPr>
        <w:ind w:left="5489" w:hanging="361"/>
      </w:pPr>
      <w:rPr>
        <w:rFonts w:hint="default"/>
        <w:lang w:val="ro-RO" w:eastAsia="en-US" w:bidi="ar-SA"/>
      </w:rPr>
    </w:lvl>
    <w:lvl w:ilvl="7" w:tplc="2398FE78">
      <w:numFmt w:val="bullet"/>
      <w:lvlText w:val="•"/>
      <w:lvlJc w:val="left"/>
      <w:pPr>
        <w:ind w:left="6207" w:hanging="361"/>
      </w:pPr>
      <w:rPr>
        <w:rFonts w:hint="default"/>
        <w:lang w:val="ro-RO" w:eastAsia="en-US" w:bidi="ar-SA"/>
      </w:rPr>
    </w:lvl>
    <w:lvl w:ilvl="8" w:tplc="FC109830">
      <w:numFmt w:val="bullet"/>
      <w:lvlText w:val="•"/>
      <w:lvlJc w:val="left"/>
      <w:pPr>
        <w:ind w:left="6925" w:hanging="361"/>
      </w:pPr>
      <w:rPr>
        <w:rFonts w:hint="default"/>
        <w:lang w:val="ro-RO" w:eastAsia="en-US" w:bidi="ar-SA"/>
      </w:rPr>
    </w:lvl>
  </w:abstractNum>
  <w:abstractNum w:abstractNumId="1" w15:restartNumberingAfterBreak="0">
    <w:nsid w:val="3A51790F"/>
    <w:multiLevelType w:val="hybridMultilevel"/>
    <w:tmpl w:val="F54E5ECE"/>
    <w:lvl w:ilvl="0" w:tplc="731EBE80">
      <w:numFmt w:val="bullet"/>
      <w:lvlText w:val="-"/>
      <w:lvlJc w:val="left"/>
      <w:pPr>
        <w:ind w:left="108" w:hanging="13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0E2A75"/>
        <w:spacing w:val="0"/>
        <w:w w:val="55"/>
        <w:sz w:val="22"/>
        <w:szCs w:val="22"/>
        <w:lang w:val="ro-RO" w:eastAsia="en-US" w:bidi="ar-SA"/>
      </w:rPr>
    </w:lvl>
    <w:lvl w:ilvl="1" w:tplc="B6208892">
      <w:numFmt w:val="bullet"/>
      <w:lvlText w:val="•"/>
      <w:lvlJc w:val="left"/>
      <w:pPr>
        <w:ind w:left="926" w:hanging="132"/>
      </w:pPr>
      <w:rPr>
        <w:rFonts w:hint="default"/>
        <w:lang w:val="ro-RO" w:eastAsia="en-US" w:bidi="ar-SA"/>
      </w:rPr>
    </w:lvl>
    <w:lvl w:ilvl="2" w:tplc="E3722BF2">
      <w:numFmt w:val="bullet"/>
      <w:lvlText w:val="•"/>
      <w:lvlJc w:val="left"/>
      <w:pPr>
        <w:ind w:left="1752" w:hanging="132"/>
      </w:pPr>
      <w:rPr>
        <w:rFonts w:hint="default"/>
        <w:lang w:val="ro-RO" w:eastAsia="en-US" w:bidi="ar-SA"/>
      </w:rPr>
    </w:lvl>
    <w:lvl w:ilvl="3" w:tplc="27623F60">
      <w:numFmt w:val="bullet"/>
      <w:lvlText w:val="•"/>
      <w:lvlJc w:val="left"/>
      <w:pPr>
        <w:ind w:left="2578" w:hanging="132"/>
      </w:pPr>
      <w:rPr>
        <w:rFonts w:hint="default"/>
        <w:lang w:val="ro-RO" w:eastAsia="en-US" w:bidi="ar-SA"/>
      </w:rPr>
    </w:lvl>
    <w:lvl w:ilvl="4" w:tplc="C56E8EF6">
      <w:numFmt w:val="bullet"/>
      <w:lvlText w:val="•"/>
      <w:lvlJc w:val="left"/>
      <w:pPr>
        <w:ind w:left="3404" w:hanging="132"/>
      </w:pPr>
      <w:rPr>
        <w:rFonts w:hint="default"/>
        <w:lang w:val="ro-RO" w:eastAsia="en-US" w:bidi="ar-SA"/>
      </w:rPr>
    </w:lvl>
    <w:lvl w:ilvl="5" w:tplc="10D86D9C">
      <w:numFmt w:val="bullet"/>
      <w:lvlText w:val="•"/>
      <w:lvlJc w:val="left"/>
      <w:pPr>
        <w:ind w:left="4231" w:hanging="132"/>
      </w:pPr>
      <w:rPr>
        <w:rFonts w:hint="default"/>
        <w:lang w:val="ro-RO" w:eastAsia="en-US" w:bidi="ar-SA"/>
      </w:rPr>
    </w:lvl>
    <w:lvl w:ilvl="6" w:tplc="7F8244EA">
      <w:numFmt w:val="bullet"/>
      <w:lvlText w:val="•"/>
      <w:lvlJc w:val="left"/>
      <w:pPr>
        <w:ind w:left="5057" w:hanging="132"/>
      </w:pPr>
      <w:rPr>
        <w:rFonts w:hint="default"/>
        <w:lang w:val="ro-RO" w:eastAsia="en-US" w:bidi="ar-SA"/>
      </w:rPr>
    </w:lvl>
    <w:lvl w:ilvl="7" w:tplc="13D05162">
      <w:numFmt w:val="bullet"/>
      <w:lvlText w:val="•"/>
      <w:lvlJc w:val="left"/>
      <w:pPr>
        <w:ind w:left="5883" w:hanging="132"/>
      </w:pPr>
      <w:rPr>
        <w:rFonts w:hint="default"/>
        <w:lang w:val="ro-RO" w:eastAsia="en-US" w:bidi="ar-SA"/>
      </w:rPr>
    </w:lvl>
    <w:lvl w:ilvl="8" w:tplc="6B367792">
      <w:numFmt w:val="bullet"/>
      <w:lvlText w:val="•"/>
      <w:lvlJc w:val="left"/>
      <w:pPr>
        <w:ind w:left="6709" w:hanging="132"/>
      </w:pPr>
      <w:rPr>
        <w:rFonts w:hint="default"/>
        <w:lang w:val="ro-RO" w:eastAsia="en-US" w:bidi="ar-SA"/>
      </w:rPr>
    </w:lvl>
  </w:abstractNum>
  <w:abstractNum w:abstractNumId="2" w15:restartNumberingAfterBreak="0">
    <w:nsid w:val="4FEA7915"/>
    <w:multiLevelType w:val="hybridMultilevel"/>
    <w:tmpl w:val="F0242E88"/>
    <w:lvl w:ilvl="0" w:tplc="5FA6D0D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E2A75"/>
        <w:spacing w:val="0"/>
        <w:w w:val="100"/>
        <w:sz w:val="22"/>
        <w:szCs w:val="22"/>
        <w:lang w:val="ro-RO" w:eastAsia="en-US" w:bidi="ar-SA"/>
      </w:rPr>
    </w:lvl>
    <w:lvl w:ilvl="1" w:tplc="2C983DF2">
      <w:numFmt w:val="bullet"/>
      <w:lvlText w:val="•"/>
      <w:lvlJc w:val="left"/>
      <w:pPr>
        <w:ind w:left="1574" w:hanging="360"/>
      </w:pPr>
      <w:rPr>
        <w:rFonts w:hint="default"/>
        <w:lang w:val="ro-RO" w:eastAsia="en-US" w:bidi="ar-SA"/>
      </w:rPr>
    </w:lvl>
    <w:lvl w:ilvl="2" w:tplc="DA64B8C2">
      <w:numFmt w:val="bullet"/>
      <w:lvlText w:val="•"/>
      <w:lvlJc w:val="left"/>
      <w:pPr>
        <w:ind w:left="2328" w:hanging="360"/>
      </w:pPr>
      <w:rPr>
        <w:rFonts w:hint="default"/>
        <w:lang w:val="ro-RO" w:eastAsia="en-US" w:bidi="ar-SA"/>
      </w:rPr>
    </w:lvl>
    <w:lvl w:ilvl="3" w:tplc="62A03280">
      <w:numFmt w:val="bullet"/>
      <w:lvlText w:val="•"/>
      <w:lvlJc w:val="left"/>
      <w:pPr>
        <w:ind w:left="3082" w:hanging="360"/>
      </w:pPr>
      <w:rPr>
        <w:rFonts w:hint="default"/>
        <w:lang w:val="ro-RO" w:eastAsia="en-US" w:bidi="ar-SA"/>
      </w:rPr>
    </w:lvl>
    <w:lvl w:ilvl="4" w:tplc="9E26C32A">
      <w:numFmt w:val="bullet"/>
      <w:lvlText w:val="•"/>
      <w:lvlJc w:val="left"/>
      <w:pPr>
        <w:ind w:left="3836" w:hanging="360"/>
      </w:pPr>
      <w:rPr>
        <w:rFonts w:hint="default"/>
        <w:lang w:val="ro-RO" w:eastAsia="en-US" w:bidi="ar-SA"/>
      </w:rPr>
    </w:lvl>
    <w:lvl w:ilvl="5" w:tplc="CAFE1742">
      <w:numFmt w:val="bullet"/>
      <w:lvlText w:val="•"/>
      <w:lvlJc w:val="left"/>
      <w:pPr>
        <w:ind w:left="4591" w:hanging="360"/>
      </w:pPr>
      <w:rPr>
        <w:rFonts w:hint="default"/>
        <w:lang w:val="ro-RO" w:eastAsia="en-US" w:bidi="ar-SA"/>
      </w:rPr>
    </w:lvl>
    <w:lvl w:ilvl="6" w:tplc="A246E740">
      <w:numFmt w:val="bullet"/>
      <w:lvlText w:val="•"/>
      <w:lvlJc w:val="left"/>
      <w:pPr>
        <w:ind w:left="5345" w:hanging="360"/>
      </w:pPr>
      <w:rPr>
        <w:rFonts w:hint="default"/>
        <w:lang w:val="ro-RO" w:eastAsia="en-US" w:bidi="ar-SA"/>
      </w:rPr>
    </w:lvl>
    <w:lvl w:ilvl="7" w:tplc="287A5D84">
      <w:numFmt w:val="bullet"/>
      <w:lvlText w:val="•"/>
      <w:lvlJc w:val="left"/>
      <w:pPr>
        <w:ind w:left="6099" w:hanging="360"/>
      </w:pPr>
      <w:rPr>
        <w:rFonts w:hint="default"/>
        <w:lang w:val="ro-RO" w:eastAsia="en-US" w:bidi="ar-SA"/>
      </w:rPr>
    </w:lvl>
    <w:lvl w:ilvl="8" w:tplc="FA620934">
      <w:numFmt w:val="bullet"/>
      <w:lvlText w:val="•"/>
      <w:lvlJc w:val="left"/>
      <w:pPr>
        <w:ind w:left="6853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5C3700F1"/>
    <w:multiLevelType w:val="hybridMultilevel"/>
    <w:tmpl w:val="908CDC72"/>
    <w:lvl w:ilvl="0" w:tplc="799CF67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E2A75"/>
        <w:spacing w:val="0"/>
        <w:w w:val="100"/>
        <w:sz w:val="22"/>
        <w:szCs w:val="22"/>
        <w:lang w:val="ro-RO" w:eastAsia="en-US" w:bidi="ar-SA"/>
      </w:rPr>
    </w:lvl>
    <w:lvl w:ilvl="1" w:tplc="3CAE66CC">
      <w:numFmt w:val="bullet"/>
      <w:lvlText w:val="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E2A75"/>
        <w:spacing w:val="0"/>
        <w:w w:val="100"/>
        <w:sz w:val="22"/>
        <w:szCs w:val="22"/>
        <w:lang w:val="ro-RO" w:eastAsia="en-US" w:bidi="ar-SA"/>
      </w:rPr>
    </w:lvl>
    <w:lvl w:ilvl="2" w:tplc="3C5C2656">
      <w:numFmt w:val="bullet"/>
      <w:lvlText w:val="•"/>
      <w:lvlJc w:val="left"/>
      <w:pPr>
        <w:ind w:left="1618" w:hanging="361"/>
      </w:pPr>
      <w:rPr>
        <w:rFonts w:hint="default"/>
        <w:lang w:val="ro-RO" w:eastAsia="en-US" w:bidi="ar-SA"/>
      </w:rPr>
    </w:lvl>
    <w:lvl w:ilvl="3" w:tplc="2530256A">
      <w:numFmt w:val="bullet"/>
      <w:lvlText w:val="•"/>
      <w:lvlJc w:val="left"/>
      <w:pPr>
        <w:ind w:left="2416" w:hanging="361"/>
      </w:pPr>
      <w:rPr>
        <w:rFonts w:hint="default"/>
        <w:lang w:val="ro-RO" w:eastAsia="en-US" w:bidi="ar-SA"/>
      </w:rPr>
    </w:lvl>
    <w:lvl w:ilvl="4" w:tplc="9F0E525C">
      <w:numFmt w:val="bullet"/>
      <w:lvlText w:val="•"/>
      <w:lvlJc w:val="left"/>
      <w:pPr>
        <w:ind w:left="3214" w:hanging="361"/>
      </w:pPr>
      <w:rPr>
        <w:rFonts w:hint="default"/>
        <w:lang w:val="ro-RO" w:eastAsia="en-US" w:bidi="ar-SA"/>
      </w:rPr>
    </w:lvl>
    <w:lvl w:ilvl="5" w:tplc="EB0CEA40">
      <w:numFmt w:val="bullet"/>
      <w:lvlText w:val="•"/>
      <w:lvlJc w:val="left"/>
      <w:pPr>
        <w:ind w:left="4012" w:hanging="361"/>
      </w:pPr>
      <w:rPr>
        <w:rFonts w:hint="default"/>
        <w:lang w:val="ro-RO" w:eastAsia="en-US" w:bidi="ar-SA"/>
      </w:rPr>
    </w:lvl>
    <w:lvl w:ilvl="6" w:tplc="28B40FCC">
      <w:numFmt w:val="bullet"/>
      <w:lvlText w:val="•"/>
      <w:lvlJc w:val="left"/>
      <w:pPr>
        <w:ind w:left="4810" w:hanging="361"/>
      </w:pPr>
      <w:rPr>
        <w:rFonts w:hint="default"/>
        <w:lang w:val="ro-RO" w:eastAsia="en-US" w:bidi="ar-SA"/>
      </w:rPr>
    </w:lvl>
    <w:lvl w:ilvl="7" w:tplc="81A6480A">
      <w:numFmt w:val="bullet"/>
      <w:lvlText w:val="•"/>
      <w:lvlJc w:val="left"/>
      <w:pPr>
        <w:ind w:left="5608" w:hanging="361"/>
      </w:pPr>
      <w:rPr>
        <w:rFonts w:hint="default"/>
        <w:lang w:val="ro-RO" w:eastAsia="en-US" w:bidi="ar-SA"/>
      </w:rPr>
    </w:lvl>
    <w:lvl w:ilvl="8" w:tplc="180E218C">
      <w:numFmt w:val="bullet"/>
      <w:lvlText w:val="•"/>
      <w:lvlJc w:val="left"/>
      <w:pPr>
        <w:ind w:left="6406" w:hanging="361"/>
      </w:pPr>
      <w:rPr>
        <w:rFonts w:hint="default"/>
        <w:lang w:val="ro-RO" w:eastAsia="en-US" w:bidi="ar-SA"/>
      </w:rPr>
    </w:lvl>
  </w:abstractNum>
  <w:num w:numId="1" w16cid:durableId="741365698">
    <w:abstractNumId w:val="1"/>
  </w:num>
  <w:num w:numId="2" w16cid:durableId="362050196">
    <w:abstractNumId w:val="2"/>
  </w:num>
  <w:num w:numId="3" w16cid:durableId="1210416765">
    <w:abstractNumId w:val="0"/>
  </w:num>
  <w:num w:numId="4" w16cid:durableId="712969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F9"/>
    <w:rsid w:val="000C7700"/>
    <w:rsid w:val="00122E4F"/>
    <w:rsid w:val="00181CEF"/>
    <w:rsid w:val="002A5047"/>
    <w:rsid w:val="005455E9"/>
    <w:rsid w:val="00640410"/>
    <w:rsid w:val="008720A1"/>
    <w:rsid w:val="00F6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9BF93"/>
  <w15:docId w15:val="{12D2FBBC-6B39-4067-9C2F-6A25D16E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ROHU</cp:lastModifiedBy>
  <cp:revision>2</cp:revision>
  <dcterms:created xsi:type="dcterms:W3CDTF">2026-02-25T14:32:00Z</dcterms:created>
  <dcterms:modified xsi:type="dcterms:W3CDTF">2026-02-25T14:32:00Z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2026-02-25T00:00:00Z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20fc6c7a-f705-4740-97f0-0d8cdce91814</vt:lpwstr>
  </property>
</Properties>
</file>