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03C2" w14:textId="77777777" w:rsidR="007F2ADA" w:rsidRDefault="007F2ADA"/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8280"/>
      </w:tblGrid>
      <w:tr w:rsidR="002A2BE3" w:rsidRPr="007570F9" w14:paraId="6B14E6F2" w14:textId="77777777" w:rsidTr="00CF0507">
        <w:trPr>
          <w:trHeight w:val="441"/>
        </w:trPr>
        <w:tc>
          <w:tcPr>
            <w:tcW w:w="9990" w:type="dxa"/>
            <w:gridSpan w:val="2"/>
            <w:shd w:val="clear" w:color="auto" w:fill="003399"/>
          </w:tcPr>
          <w:p w14:paraId="6C96AA6C" w14:textId="77777777" w:rsidR="002A2BE3" w:rsidRPr="007570F9" w:rsidRDefault="00000000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570F9">
              <w:rPr>
                <w:rFonts w:ascii="Open Sans" w:hAnsi="Open Sans" w:cs="Open Sans"/>
                <w:b/>
                <w:bCs/>
                <w:color w:val="FFFFFF"/>
              </w:rPr>
              <w:t>1</w:t>
            </w:r>
            <w:r w:rsidRPr="007570F9">
              <w:rPr>
                <w:rFonts w:ascii="Open Sans" w:hAnsi="Open Sans" w:cs="Open Sans"/>
                <w:b/>
                <w:bCs/>
                <w:color w:val="FFFFFF"/>
                <w:vertAlign w:val="superscript"/>
              </w:rPr>
              <w:t>st</w:t>
            </w:r>
            <w:r w:rsidRPr="007570F9">
              <w:rPr>
                <w:rFonts w:ascii="Open Sans" w:hAnsi="Open Sans" w:cs="Open Sans"/>
                <w:b/>
                <w:bCs/>
                <w:color w:val="FFFFFF"/>
              </w:rPr>
              <w:t xml:space="preserve"> Open Call- Normal Projects</w:t>
            </w:r>
          </w:p>
        </w:tc>
      </w:tr>
      <w:tr w:rsidR="002A2BE3" w:rsidRPr="007570F9" w14:paraId="2A12E02A" w14:textId="77777777" w:rsidTr="00CF0507">
        <w:trPr>
          <w:trHeight w:val="246"/>
        </w:trPr>
        <w:tc>
          <w:tcPr>
            <w:tcW w:w="1710" w:type="dxa"/>
          </w:tcPr>
          <w:p w14:paraId="1BECB98B" w14:textId="77777777" w:rsidR="002A2BE3" w:rsidRPr="007570F9" w:rsidRDefault="00000000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>Project code</w:t>
            </w:r>
          </w:p>
        </w:tc>
        <w:tc>
          <w:tcPr>
            <w:tcW w:w="8280" w:type="dxa"/>
          </w:tcPr>
          <w:p w14:paraId="6396C510" w14:textId="77777777" w:rsidR="002A2BE3" w:rsidRPr="007570F9" w:rsidRDefault="00000000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>ROHU-102</w:t>
            </w:r>
          </w:p>
        </w:tc>
      </w:tr>
      <w:tr w:rsidR="002A2BE3" w:rsidRPr="007570F9" w14:paraId="7811FD6B" w14:textId="77777777" w:rsidTr="00CF0507">
        <w:trPr>
          <w:trHeight w:val="599"/>
        </w:trPr>
        <w:tc>
          <w:tcPr>
            <w:tcW w:w="1710" w:type="dxa"/>
          </w:tcPr>
          <w:p w14:paraId="312E6D92" w14:textId="77777777" w:rsidR="002A2BE3" w:rsidRPr="007570F9" w:rsidRDefault="00000000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>Project title</w:t>
            </w:r>
          </w:p>
        </w:tc>
        <w:tc>
          <w:tcPr>
            <w:tcW w:w="8280" w:type="dxa"/>
          </w:tcPr>
          <w:p w14:paraId="5D2E4A5C" w14:textId="77777777" w:rsidR="002A2BE3" w:rsidRPr="007570F9" w:rsidRDefault="00000000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>SILVER</w:t>
            </w:r>
          </w:p>
          <w:p w14:paraId="53E7A0D5" w14:textId="1A5A45EB" w:rsidR="002A2BE3" w:rsidRPr="007570F9" w:rsidRDefault="00000000" w:rsidP="007570F9">
            <w:pPr>
              <w:pStyle w:val="TableParagraph"/>
              <w:rPr>
                <w:rFonts w:ascii="Open Sans" w:hAnsi="Open Sans" w:cs="Open Sans"/>
              </w:rPr>
            </w:pPr>
            <w:r w:rsidRPr="007570F9">
              <w:rPr>
                <w:rFonts w:ascii="Open Sans" w:hAnsi="Open Sans" w:cs="Open Sans"/>
                <w:color w:val="003399"/>
              </w:rPr>
              <w:t xml:space="preserve">Mitigating the negative effects of hail in Satu Mare </w:t>
            </w:r>
            <w:r w:rsidR="00852B72">
              <w:rPr>
                <w:rFonts w:ascii="Open Sans" w:hAnsi="Open Sans" w:cs="Open Sans"/>
                <w:color w:val="003399"/>
              </w:rPr>
              <w:t>County</w:t>
            </w:r>
          </w:p>
        </w:tc>
      </w:tr>
      <w:tr w:rsidR="002A2BE3" w:rsidRPr="007570F9" w14:paraId="600E870E" w14:textId="77777777" w:rsidTr="00CF0507">
        <w:trPr>
          <w:trHeight w:val="273"/>
        </w:trPr>
        <w:tc>
          <w:tcPr>
            <w:tcW w:w="1710" w:type="dxa"/>
          </w:tcPr>
          <w:p w14:paraId="6533DD3E" w14:textId="77777777" w:rsidR="002A2BE3" w:rsidRPr="007570F9" w:rsidRDefault="00000000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>Priority axis</w:t>
            </w:r>
          </w:p>
        </w:tc>
        <w:tc>
          <w:tcPr>
            <w:tcW w:w="8280" w:type="dxa"/>
          </w:tcPr>
          <w:p w14:paraId="11BB789B" w14:textId="77777777" w:rsidR="002A2BE3" w:rsidRPr="007570F9" w:rsidRDefault="00000000" w:rsidP="007570F9">
            <w:pPr>
              <w:pStyle w:val="TableParagraph"/>
              <w:rPr>
                <w:rFonts w:ascii="Open Sans" w:hAnsi="Open Sans" w:cs="Open Sans"/>
              </w:rPr>
            </w:pPr>
            <w:r w:rsidRPr="007570F9">
              <w:rPr>
                <w:rFonts w:ascii="Open Sans" w:hAnsi="Open Sans" w:cs="Open Sans"/>
                <w:color w:val="003399"/>
              </w:rPr>
              <w:t>Improve risk-prevention and disaster management</w:t>
            </w:r>
          </w:p>
        </w:tc>
      </w:tr>
      <w:tr w:rsidR="002A2BE3" w:rsidRPr="007570F9" w14:paraId="77B733F8" w14:textId="77777777" w:rsidTr="00CF0507">
        <w:trPr>
          <w:trHeight w:val="525"/>
        </w:trPr>
        <w:tc>
          <w:tcPr>
            <w:tcW w:w="1710" w:type="dxa"/>
          </w:tcPr>
          <w:p w14:paraId="28601F7F" w14:textId="77777777" w:rsidR="002A2BE3" w:rsidRPr="007570F9" w:rsidRDefault="00000000" w:rsidP="007570F9">
            <w:pPr>
              <w:pStyle w:val="TableParagraph"/>
              <w:ind w:right="113"/>
              <w:rPr>
                <w:rFonts w:ascii="Open Sans" w:hAnsi="Open Sans" w:cs="Open Sans"/>
                <w:b/>
                <w:bCs/>
              </w:rPr>
            </w:pP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>Investment priority</w:t>
            </w:r>
          </w:p>
        </w:tc>
        <w:tc>
          <w:tcPr>
            <w:tcW w:w="8280" w:type="dxa"/>
          </w:tcPr>
          <w:p w14:paraId="0AA504D6" w14:textId="77777777" w:rsidR="002A2BE3" w:rsidRPr="007570F9" w:rsidRDefault="00000000" w:rsidP="007570F9">
            <w:pPr>
              <w:pStyle w:val="TableParagraph"/>
              <w:rPr>
                <w:rFonts w:ascii="Open Sans" w:hAnsi="Open Sans" w:cs="Open Sans"/>
              </w:rPr>
            </w:pPr>
            <w:r w:rsidRPr="007570F9">
              <w:rPr>
                <w:rFonts w:ascii="Open Sans" w:hAnsi="Open Sans" w:cs="Open Sans"/>
                <w:color w:val="003399"/>
              </w:rPr>
              <w:t>5/b Promoting investment to address specific risks, ensuring disaster resilience and developing disaster management systems</w:t>
            </w:r>
          </w:p>
        </w:tc>
      </w:tr>
      <w:tr w:rsidR="002A2BE3" w:rsidRPr="007570F9" w14:paraId="33BF2B80" w14:textId="77777777" w:rsidTr="00CF0507">
        <w:trPr>
          <w:trHeight w:val="597"/>
        </w:trPr>
        <w:tc>
          <w:tcPr>
            <w:tcW w:w="1710" w:type="dxa"/>
          </w:tcPr>
          <w:p w14:paraId="4A51B411" w14:textId="77777777" w:rsidR="002A2BE3" w:rsidRPr="007570F9" w:rsidRDefault="00000000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>Implementation period</w:t>
            </w:r>
          </w:p>
        </w:tc>
        <w:tc>
          <w:tcPr>
            <w:tcW w:w="8280" w:type="dxa"/>
          </w:tcPr>
          <w:p w14:paraId="3B75DD7F" w14:textId="30D2A93E" w:rsidR="002A2BE3" w:rsidRPr="00CF0507" w:rsidRDefault="00297ACB" w:rsidP="007570F9">
            <w:pPr>
              <w:pStyle w:val="TableParagraph"/>
              <w:rPr>
                <w:rFonts w:ascii="Open Sans" w:hAnsi="Open Sans" w:cs="Open Sans"/>
                <w:color w:val="003399"/>
              </w:rPr>
            </w:pPr>
            <w:r w:rsidRPr="00CF0507">
              <w:rPr>
                <w:rFonts w:ascii="Open Sans" w:hAnsi="Open Sans" w:cs="Open Sans"/>
                <w:color w:val="003399"/>
              </w:rPr>
              <w:t>103 Months (March 01, 2018 – September 30, 2026)</w:t>
            </w:r>
          </w:p>
        </w:tc>
      </w:tr>
      <w:tr w:rsidR="002A2BE3" w:rsidRPr="007570F9" w14:paraId="4456DE62" w14:textId="77777777" w:rsidTr="00CF0507">
        <w:trPr>
          <w:trHeight w:val="1146"/>
        </w:trPr>
        <w:tc>
          <w:tcPr>
            <w:tcW w:w="1710" w:type="dxa"/>
          </w:tcPr>
          <w:p w14:paraId="47F4A996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01AC267" w14:textId="77777777" w:rsidR="002A2BE3" w:rsidRPr="007570F9" w:rsidRDefault="00000000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>Objective</w:t>
            </w:r>
          </w:p>
        </w:tc>
        <w:tc>
          <w:tcPr>
            <w:tcW w:w="8280" w:type="dxa"/>
          </w:tcPr>
          <w:p w14:paraId="6DA093E6" w14:textId="048A788C" w:rsidR="002A2BE3" w:rsidRPr="00CF0507" w:rsidRDefault="007570F9" w:rsidP="007570F9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</w:rPr>
            </w:pPr>
            <w:r w:rsidRPr="007570F9">
              <w:rPr>
                <w:rFonts w:ascii="Open Sans" w:hAnsi="Open Sans" w:cs="Open Sans"/>
                <w:color w:val="003399"/>
              </w:rPr>
              <w:t xml:space="preserve">The project's main objective </w:t>
            </w:r>
            <w:r w:rsidR="00476369">
              <w:rPr>
                <w:rFonts w:ascii="Open Sans" w:hAnsi="Open Sans" w:cs="Open Sans"/>
                <w:color w:val="003399"/>
              </w:rPr>
              <w:t>wa</w:t>
            </w:r>
            <w:r w:rsidR="007E732E" w:rsidRPr="00CF0507">
              <w:rPr>
                <w:rFonts w:ascii="Open Sans" w:hAnsi="Open Sans" w:cs="Open Sans"/>
                <w:color w:val="003399"/>
              </w:rPr>
              <w:t>s</w:t>
            </w:r>
            <w:r w:rsidRPr="007570F9">
              <w:rPr>
                <w:rFonts w:ascii="Open Sans" w:hAnsi="Open Sans" w:cs="Open Sans"/>
                <w:color w:val="003399"/>
              </w:rPr>
              <w:t xml:space="preserve"> to reduce the frequency and intensity of hail events in the cross-border area of Satu Mare and Szabolcs-Szatmár-Bereg counties by establishing a county-level hail suppression system in Satu Mare County.</w:t>
            </w:r>
          </w:p>
        </w:tc>
      </w:tr>
      <w:tr w:rsidR="002A2BE3" w:rsidRPr="007570F9" w14:paraId="2D94A4B8" w14:textId="77777777" w:rsidTr="00CF0507">
        <w:trPr>
          <w:trHeight w:val="561"/>
        </w:trPr>
        <w:tc>
          <w:tcPr>
            <w:tcW w:w="1710" w:type="dxa"/>
            <w:vMerge w:val="restart"/>
          </w:tcPr>
          <w:p w14:paraId="539E2AF2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5E25B7B" w14:textId="77777777" w:rsidR="002A2BE3" w:rsidRPr="007570F9" w:rsidRDefault="00000000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>Partners</w:t>
            </w:r>
          </w:p>
        </w:tc>
        <w:tc>
          <w:tcPr>
            <w:tcW w:w="8280" w:type="dxa"/>
          </w:tcPr>
          <w:p w14:paraId="07DC6829" w14:textId="77777777" w:rsidR="002A2BE3" w:rsidRPr="00CF0507" w:rsidRDefault="00000000" w:rsidP="007570F9">
            <w:pPr>
              <w:pStyle w:val="TableParagraph"/>
              <w:rPr>
                <w:rFonts w:ascii="Open Sans" w:hAnsi="Open Sans" w:cs="Open Sans"/>
                <w:color w:val="003399"/>
              </w:rPr>
            </w:pPr>
            <w:r w:rsidRPr="00104FBC">
              <w:rPr>
                <w:rFonts w:ascii="Open Sans" w:hAnsi="Open Sans" w:cs="Open Sans"/>
                <w:b/>
                <w:bCs/>
                <w:color w:val="003399"/>
              </w:rPr>
              <w:t>Lead Beneficiary:</w:t>
            </w:r>
            <w:r w:rsidRPr="007570F9">
              <w:rPr>
                <w:rFonts w:ascii="Open Sans" w:hAnsi="Open Sans" w:cs="Open Sans"/>
                <w:color w:val="003399"/>
              </w:rPr>
              <w:t xml:space="preserve"> Territorial Administrative Unit of Satu Mare County (Romania)</w:t>
            </w:r>
          </w:p>
        </w:tc>
      </w:tr>
      <w:tr w:rsidR="002A2BE3" w:rsidRPr="007570F9" w14:paraId="38F5C138" w14:textId="77777777" w:rsidTr="00CF0507">
        <w:trPr>
          <w:trHeight w:val="282"/>
        </w:trPr>
        <w:tc>
          <w:tcPr>
            <w:tcW w:w="1710" w:type="dxa"/>
            <w:vMerge/>
            <w:tcBorders>
              <w:top w:val="nil"/>
            </w:tcBorders>
          </w:tcPr>
          <w:p w14:paraId="3A7FE6AF" w14:textId="77777777" w:rsidR="002A2BE3" w:rsidRPr="007570F9" w:rsidRDefault="002A2BE3" w:rsidP="007570F9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8280" w:type="dxa"/>
          </w:tcPr>
          <w:p w14:paraId="78BBA7A2" w14:textId="77777777" w:rsidR="00104FBC" w:rsidRDefault="00000000" w:rsidP="007570F9">
            <w:pPr>
              <w:pStyle w:val="TableParagraph"/>
              <w:rPr>
                <w:rFonts w:ascii="Open Sans" w:hAnsi="Open Sans" w:cs="Open Sans"/>
                <w:color w:val="003399"/>
              </w:rPr>
            </w:pPr>
            <w:r w:rsidRPr="00104FBC">
              <w:rPr>
                <w:rFonts w:ascii="Open Sans" w:hAnsi="Open Sans" w:cs="Open Sans"/>
                <w:b/>
                <w:bCs/>
                <w:color w:val="003399"/>
              </w:rPr>
              <w:t>Project Partner:</w:t>
            </w:r>
            <w:r w:rsidRPr="007570F9">
              <w:rPr>
                <w:rFonts w:ascii="Open Sans" w:hAnsi="Open Sans" w:cs="Open Sans"/>
                <w:color w:val="003399"/>
              </w:rPr>
              <w:t xml:space="preserve"> </w:t>
            </w:r>
          </w:p>
          <w:p w14:paraId="57C1981F" w14:textId="15E12100" w:rsidR="002A2BE3" w:rsidRPr="00CF0507" w:rsidRDefault="00000000" w:rsidP="007570F9">
            <w:pPr>
              <w:pStyle w:val="TableParagraph"/>
              <w:rPr>
                <w:rFonts w:ascii="Open Sans" w:hAnsi="Open Sans" w:cs="Open Sans"/>
                <w:color w:val="003399"/>
              </w:rPr>
            </w:pPr>
            <w:r w:rsidRPr="007570F9">
              <w:rPr>
                <w:rFonts w:ascii="Open Sans" w:hAnsi="Open Sans" w:cs="Open Sans"/>
                <w:color w:val="003399"/>
              </w:rPr>
              <w:t xml:space="preserve">PP2: </w:t>
            </w:r>
            <w:r w:rsidR="00EB6032" w:rsidRPr="00EB6032">
              <w:rPr>
                <w:rFonts w:ascii="Open Sans" w:hAnsi="Open Sans" w:cs="Open Sans"/>
                <w:color w:val="003399"/>
              </w:rPr>
              <w:t xml:space="preserve">HungaroMet Hungarian Meteorological Service </w:t>
            </w:r>
            <w:r w:rsidRPr="007570F9">
              <w:rPr>
                <w:rFonts w:ascii="Open Sans" w:hAnsi="Open Sans" w:cs="Open Sans"/>
                <w:color w:val="003399"/>
              </w:rPr>
              <w:t>(Hungary)</w:t>
            </w:r>
          </w:p>
        </w:tc>
      </w:tr>
      <w:tr w:rsidR="002A2BE3" w:rsidRPr="007570F9" w14:paraId="49B26A7B" w14:textId="77777777" w:rsidTr="00CF0507">
        <w:trPr>
          <w:trHeight w:val="264"/>
        </w:trPr>
        <w:tc>
          <w:tcPr>
            <w:tcW w:w="1710" w:type="dxa"/>
          </w:tcPr>
          <w:p w14:paraId="470240A8" w14:textId="77777777" w:rsidR="002A2BE3" w:rsidRPr="007570F9" w:rsidRDefault="00000000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570F9">
              <w:rPr>
                <w:rFonts w:ascii="Open Sans" w:hAnsi="Open Sans" w:cs="Open Sans"/>
                <w:b/>
                <w:bCs/>
                <w:color w:val="003399"/>
              </w:rPr>
              <w:t>TOTAL Budget</w:t>
            </w:r>
          </w:p>
        </w:tc>
        <w:tc>
          <w:tcPr>
            <w:tcW w:w="8280" w:type="dxa"/>
          </w:tcPr>
          <w:p w14:paraId="3C775987" w14:textId="2E8C1E8F" w:rsidR="002A2BE3" w:rsidRPr="00CF0507" w:rsidRDefault="00000000" w:rsidP="007570F9">
            <w:pPr>
              <w:pStyle w:val="TableParagraph"/>
              <w:rPr>
                <w:rFonts w:ascii="Open Sans" w:hAnsi="Open Sans" w:cs="Open Sans"/>
                <w:color w:val="003399"/>
              </w:rPr>
            </w:pPr>
            <w:r w:rsidRPr="00CF0507">
              <w:rPr>
                <w:rFonts w:ascii="Open Sans" w:hAnsi="Open Sans" w:cs="Open Sans"/>
                <w:color w:val="003399"/>
              </w:rPr>
              <w:t>€ 1,</w:t>
            </w:r>
            <w:r w:rsidR="007E732E" w:rsidRPr="00CF0507">
              <w:rPr>
                <w:rFonts w:ascii="Open Sans" w:hAnsi="Open Sans" w:cs="Open Sans"/>
                <w:color w:val="003399"/>
              </w:rPr>
              <w:t>377</w:t>
            </w:r>
            <w:r w:rsidRPr="00CF0507">
              <w:rPr>
                <w:rFonts w:ascii="Open Sans" w:hAnsi="Open Sans" w:cs="Open Sans"/>
                <w:color w:val="003399"/>
              </w:rPr>
              <w:t>,</w:t>
            </w:r>
            <w:r w:rsidR="007E732E" w:rsidRPr="00CF0507">
              <w:rPr>
                <w:rFonts w:ascii="Open Sans" w:hAnsi="Open Sans" w:cs="Open Sans"/>
                <w:color w:val="003399"/>
              </w:rPr>
              <w:t>415</w:t>
            </w:r>
            <w:r w:rsidRPr="00CF0507">
              <w:rPr>
                <w:rFonts w:ascii="Open Sans" w:hAnsi="Open Sans" w:cs="Open Sans"/>
                <w:color w:val="003399"/>
              </w:rPr>
              <w:t>.0</w:t>
            </w:r>
            <w:r w:rsidR="007E732E" w:rsidRPr="00CF0507">
              <w:rPr>
                <w:rFonts w:ascii="Open Sans" w:hAnsi="Open Sans" w:cs="Open Sans"/>
                <w:color w:val="003399"/>
              </w:rPr>
              <w:t>2</w:t>
            </w:r>
            <w:r w:rsidRPr="00CF0507">
              <w:rPr>
                <w:rFonts w:ascii="Open Sans" w:hAnsi="Open Sans" w:cs="Open Sans"/>
                <w:color w:val="003399"/>
              </w:rPr>
              <w:t xml:space="preserve"> out of which ERDF € 1,</w:t>
            </w:r>
            <w:r w:rsidR="007E732E" w:rsidRPr="00CF0507">
              <w:rPr>
                <w:rFonts w:ascii="Open Sans" w:hAnsi="Open Sans" w:cs="Open Sans"/>
                <w:color w:val="003399"/>
              </w:rPr>
              <w:t>170</w:t>
            </w:r>
            <w:r w:rsidRPr="00CF0507">
              <w:rPr>
                <w:rFonts w:ascii="Open Sans" w:hAnsi="Open Sans" w:cs="Open Sans"/>
                <w:color w:val="003399"/>
              </w:rPr>
              <w:t>,</w:t>
            </w:r>
            <w:r w:rsidR="007E732E" w:rsidRPr="00CF0507">
              <w:rPr>
                <w:rFonts w:ascii="Open Sans" w:hAnsi="Open Sans" w:cs="Open Sans"/>
                <w:color w:val="003399"/>
              </w:rPr>
              <w:t>802</w:t>
            </w:r>
            <w:r w:rsidRPr="00CF0507">
              <w:rPr>
                <w:rFonts w:ascii="Open Sans" w:hAnsi="Open Sans" w:cs="Open Sans"/>
                <w:color w:val="003399"/>
              </w:rPr>
              <w:t>.</w:t>
            </w:r>
            <w:r w:rsidR="007E732E" w:rsidRPr="00CF0507">
              <w:rPr>
                <w:rFonts w:ascii="Open Sans" w:hAnsi="Open Sans" w:cs="Open Sans"/>
                <w:color w:val="003399"/>
              </w:rPr>
              <w:t>76</w:t>
            </w:r>
          </w:p>
        </w:tc>
      </w:tr>
      <w:tr w:rsidR="002A2BE3" w:rsidRPr="007570F9" w14:paraId="5D88610C" w14:textId="77777777" w:rsidTr="00D5701A">
        <w:trPr>
          <w:trHeight w:val="3855"/>
        </w:trPr>
        <w:tc>
          <w:tcPr>
            <w:tcW w:w="1710" w:type="dxa"/>
          </w:tcPr>
          <w:p w14:paraId="5CABD3BD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46E6D872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10A5EA3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5DD6929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A180A7C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4757008D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6FBD0254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410F39F1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002E9BE9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71FE674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DD8BB72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E9BDB50" w14:textId="77777777" w:rsidR="002A2BE3" w:rsidRPr="007570F9" w:rsidRDefault="002A2BE3" w:rsidP="007570F9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7C396260" w14:textId="77777777" w:rsidR="002A2BE3" w:rsidRPr="00602650" w:rsidRDefault="00000000" w:rsidP="007570F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602650">
              <w:rPr>
                <w:rFonts w:ascii="Open Sans" w:hAnsi="Open Sans" w:cs="Open Sans"/>
                <w:b/>
                <w:bCs/>
                <w:color w:val="003399"/>
              </w:rPr>
              <w:t>Summary</w:t>
            </w:r>
          </w:p>
        </w:tc>
        <w:tc>
          <w:tcPr>
            <w:tcW w:w="8280" w:type="dxa"/>
          </w:tcPr>
          <w:p w14:paraId="6072E080" w14:textId="5306792F" w:rsidR="00C10368" w:rsidRPr="00C10368" w:rsidRDefault="00C10368" w:rsidP="00476369">
            <w:pPr>
              <w:pStyle w:val="TableParagraph"/>
              <w:ind w:left="174" w:right="174"/>
              <w:jc w:val="both"/>
              <w:rPr>
                <w:rFonts w:ascii="Open Sans" w:hAnsi="Open Sans" w:cs="Open Sans"/>
                <w:color w:val="003399"/>
              </w:rPr>
            </w:pPr>
            <w:r w:rsidRPr="00C10368">
              <w:rPr>
                <w:rFonts w:ascii="Open Sans" w:hAnsi="Open Sans" w:cs="Open Sans"/>
                <w:color w:val="003399"/>
              </w:rPr>
              <w:t xml:space="preserve">Through this project, Satu Mare County aimed to create and operationalize a county-level hail suppression system, based on ground generators designed to detect this natural hazard. </w:t>
            </w:r>
          </w:p>
          <w:p w14:paraId="66548620" w14:textId="77777777" w:rsidR="00CF0507" w:rsidRDefault="00CF0507" w:rsidP="00476369">
            <w:pPr>
              <w:pStyle w:val="TableParagraph"/>
              <w:ind w:left="174"/>
              <w:jc w:val="both"/>
              <w:rPr>
                <w:rFonts w:ascii="Open Sans" w:hAnsi="Open Sans" w:cs="Open Sans"/>
                <w:color w:val="003399"/>
              </w:rPr>
            </w:pPr>
          </w:p>
          <w:p w14:paraId="514DD774" w14:textId="26D2214E" w:rsidR="002A2BE3" w:rsidRPr="007570F9" w:rsidRDefault="00000000" w:rsidP="00476369">
            <w:pPr>
              <w:pStyle w:val="TableParagraph"/>
              <w:ind w:left="174"/>
              <w:jc w:val="both"/>
              <w:rPr>
                <w:rFonts w:ascii="Open Sans" w:hAnsi="Open Sans" w:cs="Open Sans"/>
              </w:rPr>
            </w:pPr>
            <w:r w:rsidRPr="007570F9">
              <w:rPr>
                <w:rFonts w:ascii="Open Sans" w:hAnsi="Open Sans" w:cs="Open Sans"/>
                <w:color w:val="003399"/>
              </w:rPr>
              <w:t xml:space="preserve">The following </w:t>
            </w:r>
            <w:r w:rsidRPr="00602650">
              <w:rPr>
                <w:rFonts w:ascii="Open Sans" w:hAnsi="Open Sans" w:cs="Open Sans"/>
                <w:b/>
                <w:bCs/>
                <w:color w:val="003399"/>
              </w:rPr>
              <w:t xml:space="preserve">activities </w:t>
            </w:r>
            <w:r w:rsidR="007570F9" w:rsidRPr="00602650">
              <w:rPr>
                <w:rFonts w:ascii="Open Sans" w:hAnsi="Open Sans" w:cs="Open Sans"/>
                <w:b/>
                <w:bCs/>
                <w:color w:val="003399"/>
              </w:rPr>
              <w:t>were</w:t>
            </w:r>
            <w:r w:rsidRPr="00602650">
              <w:rPr>
                <w:rFonts w:ascii="Open Sans" w:hAnsi="Open Sans" w:cs="Open Sans"/>
                <w:b/>
                <w:bCs/>
                <w:color w:val="003399"/>
              </w:rPr>
              <w:t xml:space="preserve"> implemented</w:t>
            </w:r>
            <w:r w:rsidRPr="007570F9">
              <w:rPr>
                <w:rFonts w:ascii="Open Sans" w:hAnsi="Open Sans" w:cs="Open Sans"/>
                <w:color w:val="003399"/>
              </w:rPr>
              <w:t xml:space="preserve"> within the project:</w:t>
            </w:r>
          </w:p>
          <w:p w14:paraId="325B6081" w14:textId="77777777" w:rsidR="00104FBC" w:rsidRDefault="00CF0507" w:rsidP="00104FBC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="Open Sans" w:hAnsi="Open Sans" w:cs="Open Sans"/>
                <w:i/>
                <w:iCs/>
                <w:color w:val="003399"/>
              </w:rPr>
            </w:pPr>
            <w:r w:rsidRPr="00104FBC">
              <w:rPr>
                <w:rFonts w:ascii="Open Sans" w:hAnsi="Open Sans" w:cs="Open Sans"/>
                <w:b/>
                <w:bCs/>
                <w:color w:val="003399"/>
              </w:rPr>
              <w:t>LP UATSM:</w:t>
            </w:r>
            <w:r>
              <w:rPr>
                <w:rFonts w:ascii="Open Sans" w:hAnsi="Open Sans" w:cs="Open Sans"/>
                <w:color w:val="003399"/>
              </w:rPr>
              <w:t xml:space="preserve"> </w:t>
            </w:r>
            <w:r w:rsidR="00C10368" w:rsidRPr="00CF0507">
              <w:rPr>
                <w:rFonts w:ascii="Open Sans" w:hAnsi="Open Sans" w:cs="Open Sans"/>
                <w:i/>
                <w:iCs/>
                <w:color w:val="003399"/>
              </w:rPr>
              <w:t>The anti-hail system, comprising 44 ground generators, was successfully manufactured, installed, and individually tested. However, the operation and maintenance service of the county-level anti-hail network, which falls under the responsibility of the Lead Beneficiary (Satu Mare County), is not yet operational.</w:t>
            </w:r>
            <w:r w:rsidR="00DC5473" w:rsidRPr="00CF0507">
              <w:rPr>
                <w:rFonts w:ascii="Open Sans" w:hAnsi="Open Sans" w:cs="Open Sans"/>
                <w:i/>
                <w:iCs/>
                <w:color w:val="003399"/>
              </w:rPr>
              <w:t xml:space="preserve"> </w:t>
            </w:r>
          </w:p>
          <w:p w14:paraId="4642C03B" w14:textId="77777777" w:rsidR="002A2BE3" w:rsidRPr="00104FBC" w:rsidRDefault="00EB6032" w:rsidP="00104FBC">
            <w:pPr>
              <w:pStyle w:val="TableParagraph"/>
              <w:numPr>
                <w:ilvl w:val="0"/>
                <w:numId w:val="3"/>
              </w:numPr>
              <w:jc w:val="both"/>
              <w:rPr>
                <w:rFonts w:ascii="Open Sans" w:hAnsi="Open Sans" w:cs="Open Sans"/>
                <w:i/>
                <w:iCs/>
                <w:color w:val="003399"/>
              </w:rPr>
            </w:pPr>
            <w:r w:rsidRPr="00104FBC">
              <w:rPr>
                <w:rFonts w:ascii="Open Sans" w:hAnsi="Open Sans" w:cs="Open Sans"/>
                <w:b/>
                <w:bCs/>
                <w:color w:val="003399"/>
              </w:rPr>
              <w:t>PP2 Hungaromet:</w:t>
            </w:r>
            <w:r>
              <w:rPr>
                <w:rFonts w:ascii="Open Sans" w:hAnsi="Open Sans" w:cs="Open Sans"/>
                <w:color w:val="003399"/>
              </w:rPr>
              <w:t xml:space="preserve"> </w:t>
            </w:r>
            <w:r w:rsidRPr="007570F9">
              <w:rPr>
                <w:rFonts w:ascii="Open Sans" w:hAnsi="Open Sans" w:cs="Open Sans"/>
                <w:color w:val="003399"/>
              </w:rPr>
              <w:t xml:space="preserve">Purchasing and installing 50 new meteorological instruments for 9 meteorological stations (Cloud base meter, Visibility meter, present weather sensor, </w:t>
            </w:r>
            <w:proofErr w:type="spellStart"/>
            <w:r w:rsidRPr="007570F9">
              <w:rPr>
                <w:rFonts w:ascii="Open Sans" w:hAnsi="Open Sans" w:cs="Open Sans"/>
                <w:color w:val="003399"/>
              </w:rPr>
              <w:t>Disdrometer</w:t>
            </w:r>
            <w:proofErr w:type="spellEnd"/>
            <w:r w:rsidRPr="007570F9">
              <w:rPr>
                <w:rFonts w:ascii="Open Sans" w:hAnsi="Open Sans" w:cs="Open Sans"/>
                <w:color w:val="003399"/>
              </w:rPr>
              <w:t>, Radiation detectors to measure components of net radiation, Sensors to measure soil humidity and soil temperature, Basic meteorological sensors, anemometer, thermometer and humidity meter, rain gauge).</w:t>
            </w:r>
          </w:p>
          <w:p w14:paraId="5C6D1BD7" w14:textId="77777777" w:rsidR="00104FBC" w:rsidRDefault="00104FBC" w:rsidP="00104FBC">
            <w:pPr>
              <w:pStyle w:val="TableParagraph"/>
              <w:ind w:left="174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</w:p>
          <w:p w14:paraId="6474525B" w14:textId="48C63A7A" w:rsidR="00104FBC" w:rsidRPr="00104FBC" w:rsidRDefault="00104FBC" w:rsidP="00104FBC">
            <w:pPr>
              <w:pStyle w:val="TableParagraph"/>
              <w:ind w:left="174"/>
              <w:jc w:val="both"/>
              <w:rPr>
                <w:rFonts w:ascii="Open Sans" w:hAnsi="Open Sans" w:cs="Open Sans"/>
                <w:color w:val="003399"/>
              </w:rPr>
            </w:pPr>
            <w:r w:rsidRPr="00104FBC">
              <w:rPr>
                <w:rFonts w:ascii="Open Sans" w:hAnsi="Open Sans" w:cs="Open Sans"/>
                <w:color w:val="003399"/>
              </w:rPr>
              <w:t xml:space="preserve">For the operationalization of the anti-hail system by LP UATSM, </w:t>
            </w:r>
            <w:r w:rsidRPr="00104FBC">
              <w:rPr>
                <w:rFonts w:ascii="Open Sans" w:hAnsi="Open Sans" w:cs="Open Sans"/>
                <w:b/>
                <w:bCs/>
                <w:color w:val="003399"/>
              </w:rPr>
              <w:t>the project was declared non-functional</w:t>
            </w:r>
            <w:r w:rsidRPr="00104FBC">
              <w:rPr>
                <w:rFonts w:ascii="Open Sans" w:hAnsi="Open Sans" w:cs="Open Sans"/>
                <w:color w:val="003399"/>
              </w:rPr>
              <w:t>, with the deadline for achieving the objectives of September 30, 2026.</w:t>
            </w:r>
          </w:p>
        </w:tc>
      </w:tr>
      <w:tr w:rsidR="002A2BE3" w:rsidRPr="00602650" w14:paraId="732CB296" w14:textId="77777777" w:rsidTr="00104FBC">
        <w:trPr>
          <w:trHeight w:val="5898"/>
        </w:trPr>
        <w:tc>
          <w:tcPr>
            <w:tcW w:w="1710" w:type="dxa"/>
          </w:tcPr>
          <w:p w14:paraId="1BC4614E" w14:textId="77777777" w:rsidR="002A2BE3" w:rsidRPr="00602650" w:rsidRDefault="002A2BE3" w:rsidP="00602650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7D5A4DB" w14:textId="77777777" w:rsidR="002A2BE3" w:rsidRPr="00602650" w:rsidRDefault="002A2BE3" w:rsidP="00602650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A225640" w14:textId="77777777" w:rsidR="002A2BE3" w:rsidRPr="00602650" w:rsidRDefault="002A2BE3" w:rsidP="00602650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253B648" w14:textId="68164F97" w:rsidR="002A2BE3" w:rsidRPr="00602650" w:rsidRDefault="00000000" w:rsidP="00602650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602650">
              <w:rPr>
                <w:rFonts w:ascii="Open Sans" w:hAnsi="Open Sans" w:cs="Open Sans"/>
                <w:b/>
                <w:bCs/>
                <w:color w:val="003399"/>
              </w:rPr>
              <w:t xml:space="preserve">Main </w:t>
            </w:r>
            <w:r w:rsidR="00602650" w:rsidRPr="00602650">
              <w:rPr>
                <w:rFonts w:ascii="Open Sans" w:hAnsi="Open Sans" w:cs="Open Sans"/>
                <w:b/>
                <w:bCs/>
                <w:color w:val="003399"/>
              </w:rPr>
              <w:t>outcomes</w:t>
            </w:r>
          </w:p>
        </w:tc>
        <w:tc>
          <w:tcPr>
            <w:tcW w:w="8280" w:type="dxa"/>
          </w:tcPr>
          <w:p w14:paraId="4DCC2DC4" w14:textId="48082AE6" w:rsidR="00182D08" w:rsidRDefault="00182D08" w:rsidP="00602650">
            <w:pPr>
              <w:pStyle w:val="TableParagraph"/>
              <w:ind w:right="94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>
              <w:rPr>
                <w:rFonts w:ascii="Open Sans" w:hAnsi="Open Sans" w:cs="Open Sans"/>
                <w:b/>
                <w:bCs/>
                <w:color w:val="003399"/>
              </w:rPr>
              <w:t>The main deliverables:</w:t>
            </w:r>
          </w:p>
          <w:p w14:paraId="4E4F027E" w14:textId="129033FF" w:rsidR="00182D08" w:rsidRPr="00182D08" w:rsidRDefault="00182D08" w:rsidP="00182D08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182D08">
              <w:rPr>
                <w:rFonts w:ascii="Open Sans" w:hAnsi="Open Sans" w:cs="Open Sans"/>
                <w:color w:val="003399"/>
                <w:lang w:val="en-GB"/>
              </w:rPr>
              <w:t>1.</w:t>
            </w:r>
            <w:r w:rsidR="007F2AD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182D08">
              <w:rPr>
                <w:rFonts w:ascii="Open Sans" w:hAnsi="Open Sans" w:cs="Open Sans"/>
                <w:color w:val="003399"/>
                <w:lang w:val="en-GB"/>
              </w:rPr>
              <w:t>Purchased and installed meteorological instruments in 9 meteorological stations located in all the 4 eligible counties in Hungary;</w:t>
            </w:r>
          </w:p>
          <w:p w14:paraId="22720C89" w14:textId="26558C46" w:rsidR="00182D08" w:rsidRDefault="00AC5419" w:rsidP="00602650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AC5419">
              <w:rPr>
                <w:rFonts w:ascii="Open Sans" w:hAnsi="Open Sans" w:cs="Open Sans"/>
                <w:color w:val="003399"/>
                <w:lang w:val="en-GB"/>
              </w:rPr>
              <w:t xml:space="preserve">2. The county hail suppression network was completed by the provider in November-December 2023. </w:t>
            </w:r>
            <w:r w:rsidR="00EB6032" w:rsidRPr="00EB6032">
              <w:rPr>
                <w:rFonts w:ascii="Open Sans" w:hAnsi="Open Sans" w:cs="Open Sans"/>
                <w:color w:val="003399"/>
                <w:lang w:val="en-GB"/>
              </w:rPr>
              <w:t xml:space="preserve">The anti-hail system, comprising 44 ground generators, was successfully manufactured, installed, and individually tested. </w:t>
            </w:r>
          </w:p>
          <w:p w14:paraId="1EAC739F" w14:textId="77777777" w:rsidR="00EB6032" w:rsidRDefault="00EB6032" w:rsidP="00602650">
            <w:pPr>
              <w:pStyle w:val="TableParagraph"/>
              <w:ind w:right="94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</w:p>
          <w:p w14:paraId="77E7F64D" w14:textId="2D048BC0" w:rsidR="00182D08" w:rsidRDefault="00182D08" w:rsidP="00602650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</w:rPr>
            </w:pPr>
            <w:r w:rsidRPr="00182D08">
              <w:rPr>
                <w:rFonts w:ascii="Open Sans" w:hAnsi="Open Sans" w:cs="Open Sans"/>
                <w:b/>
                <w:bCs/>
                <w:color w:val="003399"/>
              </w:rPr>
              <w:t xml:space="preserve">The main results </w:t>
            </w:r>
            <w:r>
              <w:rPr>
                <w:rFonts w:ascii="Open Sans" w:hAnsi="Open Sans" w:cs="Open Sans"/>
                <w:color w:val="003399"/>
              </w:rPr>
              <w:t>of the project:</w:t>
            </w:r>
          </w:p>
          <w:p w14:paraId="1439F705" w14:textId="56FFE270" w:rsidR="00B74125" w:rsidRPr="00B74125" w:rsidRDefault="00B74125" w:rsidP="00B74125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</w:rPr>
            </w:pPr>
            <w:r w:rsidRPr="00B74125">
              <w:rPr>
                <w:rFonts w:ascii="Open Sans" w:hAnsi="Open Sans" w:cs="Open Sans"/>
                <w:color w:val="003399"/>
              </w:rPr>
              <w:t xml:space="preserve">Under project ROHU-102, a county-wide hail suppression system </w:t>
            </w:r>
            <w:r>
              <w:rPr>
                <w:rFonts w:ascii="Open Sans" w:hAnsi="Open Sans" w:cs="Open Sans"/>
                <w:color w:val="003399"/>
              </w:rPr>
              <w:t>has been</w:t>
            </w:r>
            <w:r w:rsidRPr="00B74125">
              <w:rPr>
                <w:rFonts w:ascii="Open Sans" w:hAnsi="Open Sans" w:cs="Open Sans"/>
                <w:color w:val="003399"/>
              </w:rPr>
              <w:t xml:space="preserve"> established in Satu Mare County, consisting of 40 automatic, energy-autonomous generator stations and a central control unit. This system is designed to benefit from enhanced hail prediction services and alerting provided by the project partner HungaroMet.</w:t>
            </w:r>
          </w:p>
          <w:p w14:paraId="67B37955" w14:textId="656ED7DA" w:rsidR="00B74125" w:rsidRPr="00B74125" w:rsidRDefault="00B74125" w:rsidP="00B74125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</w:rPr>
            </w:pPr>
            <w:r w:rsidRPr="00B74125">
              <w:rPr>
                <w:rFonts w:ascii="Open Sans" w:hAnsi="Open Sans" w:cs="Open Sans"/>
                <w:color w:val="003399"/>
              </w:rPr>
              <w:t>To ensure the best available hail forecasting, HungaroMet upgrade</w:t>
            </w:r>
            <w:r>
              <w:rPr>
                <w:rFonts w:ascii="Open Sans" w:hAnsi="Open Sans" w:cs="Open Sans"/>
                <w:color w:val="003399"/>
              </w:rPr>
              <w:t>d</w:t>
            </w:r>
            <w:r w:rsidRPr="00B74125">
              <w:rPr>
                <w:rFonts w:ascii="Open Sans" w:hAnsi="Open Sans" w:cs="Open Sans"/>
                <w:color w:val="003399"/>
              </w:rPr>
              <w:t xml:space="preserve"> its meteorological observation station equipment in the Romanian-Hungarian border area within the framework of this project.</w:t>
            </w:r>
          </w:p>
          <w:p w14:paraId="35F077EF" w14:textId="77777777" w:rsidR="00B74125" w:rsidRDefault="00B74125" w:rsidP="00B74125">
            <w:pPr>
              <w:pStyle w:val="TableParagraph"/>
              <w:ind w:right="94"/>
              <w:jc w:val="both"/>
              <w:rPr>
                <w:rFonts w:ascii="Open Sans" w:hAnsi="Open Sans" w:cs="Open Sans"/>
                <w:color w:val="003399"/>
              </w:rPr>
            </w:pPr>
          </w:p>
          <w:p w14:paraId="315DB670" w14:textId="718231D1" w:rsidR="002A2BE3" w:rsidRPr="00D5701A" w:rsidRDefault="00EB6032" w:rsidP="00104FBC">
            <w:pPr>
              <w:pStyle w:val="TableParagraph"/>
              <w:ind w:right="94"/>
              <w:rPr>
                <w:rFonts w:ascii="Open Sans" w:hAnsi="Open Sans" w:cs="Open Sans"/>
                <w:color w:val="003399"/>
              </w:rPr>
            </w:pPr>
            <w:r w:rsidRPr="00EB6032">
              <w:rPr>
                <w:rFonts w:ascii="Open Sans" w:hAnsi="Open Sans" w:cs="Open Sans"/>
                <w:b/>
                <w:bCs/>
                <w:color w:val="003399"/>
              </w:rPr>
              <w:t>Programme Output Indicator:</w:t>
            </w:r>
            <w:r w:rsidRPr="00EB6032">
              <w:rPr>
                <w:rFonts w:ascii="Open Sans" w:hAnsi="Open Sans" w:cs="Open Sans"/>
                <w:color w:val="003399"/>
              </w:rPr>
              <w:t xml:space="preserve"> 5/b 1 – Population safeguarded by improved emergency response services</w:t>
            </w:r>
            <w:r w:rsidR="00104FBC">
              <w:rPr>
                <w:rFonts w:ascii="Open Sans" w:hAnsi="Open Sans" w:cs="Open Sans"/>
                <w:color w:val="003399"/>
              </w:rPr>
              <w:t xml:space="preserve">. </w:t>
            </w:r>
            <w:r w:rsidRPr="00EB6032">
              <w:rPr>
                <w:rFonts w:ascii="Open Sans" w:hAnsi="Open Sans" w:cs="Open Sans"/>
                <w:color w:val="003399"/>
              </w:rPr>
              <w:t>Through project ROHU-102, 350,000 people are expected to benefit from improved emergency response services.</w:t>
            </w:r>
          </w:p>
        </w:tc>
      </w:tr>
    </w:tbl>
    <w:p w14:paraId="14CC24C6" w14:textId="77777777" w:rsidR="004408C6" w:rsidRDefault="004408C6"/>
    <w:sectPr w:rsidR="004408C6">
      <w:headerReference w:type="default" r:id="rId8"/>
      <w:footerReference w:type="default" r:id="rId9"/>
      <w:type w:val="continuous"/>
      <w:pgSz w:w="11910" w:h="16840"/>
      <w:pgMar w:top="1400" w:right="708" w:bottom="1240" w:left="1417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68E0B" w14:textId="77777777" w:rsidR="007F484E" w:rsidRDefault="007F484E">
      <w:r>
        <w:separator/>
      </w:r>
    </w:p>
  </w:endnote>
  <w:endnote w:type="continuationSeparator" w:id="0">
    <w:p w14:paraId="643C4A4E" w14:textId="77777777" w:rsidR="007F484E" w:rsidRDefault="007F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6A96" w14:textId="77777777" w:rsidR="002A2BE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68601C62" wp14:editId="4A2DC8C6">
              <wp:simplePos x="0" y="0"/>
              <wp:positionH relativeFrom="page">
                <wp:posOffset>5325236</wp:posOffset>
              </wp:positionH>
              <wp:positionV relativeFrom="page">
                <wp:posOffset>9884286</wp:posOffset>
              </wp:positionV>
              <wp:extent cx="1333500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DE31F" w14:textId="77777777" w:rsidR="002A2BE3" w:rsidRDefault="002A2BE3">
                          <w:pPr>
                            <w:spacing w:before="13" w:line="298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w w:val="90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01C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9.3pt;margin-top:778.3pt;width:105pt;height:15.6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" filled="f" stroked="f">
              <v:textbox inset="0,0,0,0">
                <w:txbxContent>
                  <w:p w14:paraId="29DDE31F" w14:textId="77777777" w:rsidR="002A2BE3" w:rsidRDefault="002A2BE3">
                    <w:pPr>
                      <w:spacing w:before="13" w:line="298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w w:val="90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97C205B" wp14:editId="09F22764">
              <wp:simplePos x="0" y="0"/>
              <wp:positionH relativeFrom="page">
                <wp:posOffset>902004</wp:posOffset>
              </wp:positionH>
              <wp:positionV relativeFrom="page">
                <wp:posOffset>9905186</wp:posOffset>
              </wp:positionV>
              <wp:extent cx="190881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C9587C" w14:textId="77777777" w:rsidR="002A2BE3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C205B" id="Textbox 2" o:spid="_x0000_s1027" type="#_x0000_t202" style="position:absolute;margin-left:71pt;margin-top:779.95pt;width:150.3pt;height:14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" filled="f" stroked="f">
              <v:textbox inset="0,0,0,0">
                <w:txbxContent>
                  <w:p w14:paraId="15C9587C" w14:textId="77777777" w:rsidR="002A2BE3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1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44B8" w14:textId="77777777" w:rsidR="007F484E" w:rsidRDefault="007F484E">
      <w:r>
        <w:separator/>
      </w:r>
    </w:p>
  </w:footnote>
  <w:footnote w:type="continuationSeparator" w:id="0">
    <w:p w14:paraId="4FA9EF96" w14:textId="77777777" w:rsidR="007F484E" w:rsidRDefault="007F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D498" w14:textId="77777777" w:rsidR="007570F9" w:rsidRDefault="007570F9">
    <w:pPr>
      <w:pStyle w:val="Header"/>
    </w:pPr>
  </w:p>
  <w:p w14:paraId="4383AA78" w14:textId="2D2F8A52" w:rsidR="007570F9" w:rsidRDefault="007570F9">
    <w:pPr>
      <w:pStyle w:val="Header"/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9232" behindDoc="1" locked="0" layoutInCell="1" allowOverlap="1" wp14:anchorId="13DA45A2" wp14:editId="37AE0329">
              <wp:simplePos x="0" y="0"/>
              <wp:positionH relativeFrom="page">
                <wp:posOffset>3232785</wp:posOffset>
              </wp:positionH>
              <wp:positionV relativeFrom="page">
                <wp:posOffset>214630</wp:posOffset>
              </wp:positionV>
              <wp:extent cx="426084" cy="284480"/>
              <wp:effectExtent l="0" t="0" r="0" b="0"/>
              <wp:wrapNone/>
              <wp:docPr id="820872230" name="Group 820872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907898707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9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9" y="284051"/>
                              </a:lnTo>
                              <a:lnTo>
                                <a:pt x="425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2003430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4" y="33953"/>
                          <a:ext cx="215517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6ED8D2" id="Group 820872230" o:spid="_x0000_s1026" style="position:absolute;margin-left:254.55pt;margin-top:16.9pt;width:33.55pt;height:22.4pt;z-index:-15797248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" path="m425949,l,,,284051r425949,l425949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4;top:33953;width:215517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0256" behindDoc="1" locked="0" layoutInCell="1" allowOverlap="1" wp14:anchorId="29BC1549" wp14:editId="2F895FBF">
          <wp:simplePos x="0" y="0"/>
          <wp:positionH relativeFrom="page">
            <wp:posOffset>1485900</wp:posOffset>
          </wp:positionH>
          <wp:positionV relativeFrom="page">
            <wp:posOffset>214630</wp:posOffset>
          </wp:positionV>
          <wp:extent cx="1586388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88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1280" behindDoc="1" locked="0" layoutInCell="1" allowOverlap="1" wp14:anchorId="442AEE24" wp14:editId="3DFEA70E">
          <wp:simplePos x="0" y="0"/>
          <wp:positionH relativeFrom="page">
            <wp:posOffset>6339840</wp:posOffset>
          </wp:positionH>
          <wp:positionV relativeFrom="page">
            <wp:posOffset>219710</wp:posOffset>
          </wp:positionV>
          <wp:extent cx="291690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90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2304" behindDoc="1" locked="0" layoutInCell="1" allowOverlap="1" wp14:anchorId="6D5BA4F7" wp14:editId="6FD4929C">
          <wp:simplePos x="0" y="0"/>
          <wp:positionH relativeFrom="page">
            <wp:posOffset>5777865</wp:posOffset>
          </wp:positionH>
          <wp:positionV relativeFrom="page">
            <wp:posOffset>220345</wp:posOffset>
          </wp:positionV>
          <wp:extent cx="292652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52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3328" behindDoc="1" locked="0" layoutInCell="1" allowOverlap="1" wp14:anchorId="490966AE" wp14:editId="08B4EC5E">
          <wp:simplePos x="0" y="0"/>
          <wp:positionH relativeFrom="page">
            <wp:posOffset>899795</wp:posOffset>
          </wp:positionH>
          <wp:positionV relativeFrom="page">
            <wp:posOffset>242570</wp:posOffset>
          </wp:positionV>
          <wp:extent cx="426267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7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CC5"/>
    <w:multiLevelType w:val="hybridMultilevel"/>
    <w:tmpl w:val="2B248A90"/>
    <w:lvl w:ilvl="0" w:tplc="1CF42C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1194BAB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2" w:tplc="EE92F81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3" w:tplc="1AAEE7C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4" w:tplc="AFEC6A36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5" w:tplc="1ECAA2BA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6" w:tplc="3A3457FC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7" w:tplc="B6707042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8" w:tplc="1174FCB8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762872"/>
    <w:multiLevelType w:val="hybridMultilevel"/>
    <w:tmpl w:val="DCF0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16BC7"/>
    <w:multiLevelType w:val="hybridMultilevel"/>
    <w:tmpl w:val="075EDB6E"/>
    <w:lvl w:ilvl="0" w:tplc="CE82014A">
      <w:start w:val="1"/>
      <w:numFmt w:val="bullet"/>
      <w:lvlText w:val=""/>
      <w:lvlJc w:val="left"/>
      <w:pPr>
        <w:ind w:left="5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num w:numId="1" w16cid:durableId="2125071549">
    <w:abstractNumId w:val="0"/>
  </w:num>
  <w:num w:numId="2" w16cid:durableId="298850955">
    <w:abstractNumId w:val="1"/>
  </w:num>
  <w:num w:numId="3" w16cid:durableId="1036927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E3"/>
    <w:rsid w:val="00104FBC"/>
    <w:rsid w:val="00182D08"/>
    <w:rsid w:val="00211C07"/>
    <w:rsid w:val="00297ACB"/>
    <w:rsid w:val="002A2BE3"/>
    <w:rsid w:val="003127D3"/>
    <w:rsid w:val="004408C6"/>
    <w:rsid w:val="00476369"/>
    <w:rsid w:val="004C0439"/>
    <w:rsid w:val="004C18A0"/>
    <w:rsid w:val="0053369B"/>
    <w:rsid w:val="005D0E44"/>
    <w:rsid w:val="00602650"/>
    <w:rsid w:val="0062503C"/>
    <w:rsid w:val="007570F9"/>
    <w:rsid w:val="007D67F3"/>
    <w:rsid w:val="007E732E"/>
    <w:rsid w:val="007F2ADA"/>
    <w:rsid w:val="007F484E"/>
    <w:rsid w:val="00852B72"/>
    <w:rsid w:val="00AC5419"/>
    <w:rsid w:val="00B025E2"/>
    <w:rsid w:val="00B74125"/>
    <w:rsid w:val="00BA263F"/>
    <w:rsid w:val="00C10368"/>
    <w:rsid w:val="00CF0507"/>
    <w:rsid w:val="00D5701A"/>
    <w:rsid w:val="00DA17C0"/>
    <w:rsid w:val="00DC5473"/>
    <w:rsid w:val="00EB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1783"/>
  <w15:docId w15:val="{11FFAB2E-334A-4914-B186-0B27A8F1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570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0F9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0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0F9"/>
    <w:rPr>
      <w:rFonts w:ascii="Lucida Sans Unicode" w:eastAsia="Lucida Sans Unicode" w:hAnsi="Lucida Sans Unicode" w:cs="Lucida Sans Unicode"/>
    </w:rPr>
  </w:style>
  <w:style w:type="character" w:styleId="Hyperlink">
    <w:name w:val="Hyperlink"/>
    <w:basedOn w:val="DefaultParagraphFont"/>
    <w:uiPriority w:val="99"/>
    <w:unhideWhenUsed/>
    <w:rsid w:val="007F2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A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732E"/>
    <w:pPr>
      <w:widowControl/>
      <w:autoSpaceDE/>
      <w:autoSpaceDN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5E11-D50D-4107-97EC-8531FAEC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ROHU</cp:lastModifiedBy>
  <cp:revision>3</cp:revision>
  <dcterms:created xsi:type="dcterms:W3CDTF">2026-03-31T10:07:00Z</dcterms:created>
  <dcterms:modified xsi:type="dcterms:W3CDTF">2026-03-31T11:05:00Z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c65bed31-93c0-49af-ba42-688be68707ea</vt:lpwstr>
  </property>
</Properties>
</file>