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BCC5" w14:textId="77777777" w:rsidR="00FF5398" w:rsidRPr="002F4AC8" w:rsidRDefault="00FF5398" w:rsidP="00DA1851">
      <w:pPr>
        <w:pStyle w:val="Szvegtrzs"/>
        <w:spacing w:before="177" w:line="276" w:lineRule="auto"/>
        <w:rPr>
          <w:rFonts w:ascii="Open Sans" w:hAnsi="Open Sans" w:cs="Open Sans"/>
          <w:color w:val="365F91" w:themeColor="accent1" w:themeShade="BF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2F4AC8" w:rsidRPr="002F4AC8" w14:paraId="274DB0E0" w14:textId="77777777">
        <w:trPr>
          <w:trHeight w:val="462"/>
        </w:trPr>
        <w:tc>
          <w:tcPr>
            <w:tcW w:w="9742" w:type="dxa"/>
            <w:gridSpan w:val="2"/>
            <w:shd w:val="clear" w:color="auto" w:fill="44536A"/>
          </w:tcPr>
          <w:p w14:paraId="6B4092D4" w14:textId="77777777" w:rsidR="00FF5398" w:rsidRPr="002F4AC8" w:rsidRDefault="004A16D5" w:rsidP="00DA1851">
            <w:pPr>
              <w:pStyle w:val="TableParagraph"/>
              <w:spacing w:line="276" w:lineRule="auto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color w:val="365F91" w:themeColor="accent1" w:themeShade="BF"/>
                <w:w w:val="90"/>
                <w:lang w:val="en-GB"/>
              </w:rPr>
              <w:t>2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90"/>
                <w:vertAlign w:val="superscript"/>
                <w:lang w:val="en-GB"/>
              </w:rPr>
              <w:t>nd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3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90"/>
                <w:lang w:val="en-GB"/>
              </w:rPr>
              <w:t>Open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4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90"/>
                <w:lang w:val="en-GB"/>
              </w:rPr>
              <w:t>Call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3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90"/>
                <w:lang w:val="en-GB"/>
              </w:rPr>
              <w:t>-Normal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6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2"/>
                <w:w w:val="90"/>
                <w:lang w:val="en-GB"/>
              </w:rPr>
              <w:t>Projects</w:t>
            </w:r>
          </w:p>
        </w:tc>
      </w:tr>
      <w:tr w:rsidR="002F4AC8" w:rsidRPr="002F4AC8" w14:paraId="748FF95A" w14:textId="77777777">
        <w:trPr>
          <w:trHeight w:val="465"/>
        </w:trPr>
        <w:tc>
          <w:tcPr>
            <w:tcW w:w="2264" w:type="dxa"/>
          </w:tcPr>
          <w:p w14:paraId="6A873D8A" w14:textId="53F2FA1F" w:rsidR="00FF5398" w:rsidRPr="002F4AC8" w:rsidRDefault="004A16D5" w:rsidP="00DA1851">
            <w:pPr>
              <w:pStyle w:val="TableParagraph"/>
              <w:spacing w:line="276" w:lineRule="auto"/>
              <w:ind w:left="12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>Proje</w:t>
            </w:r>
            <w:r w:rsidR="00CD15A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>k</w:t>
            </w: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>t</w:t>
            </w: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5"/>
                <w:lang w:val="en-GB"/>
              </w:rPr>
              <w:t xml:space="preserve"> </w:t>
            </w:r>
            <w:proofErr w:type="spellStart"/>
            <w:r w:rsidR="00CD15AE">
              <w:rPr>
                <w:rFonts w:ascii="Open Sans" w:hAnsi="Open Sans" w:cs="Open Sans"/>
                <w:b/>
                <w:bCs/>
                <w:color w:val="365F91" w:themeColor="accent1" w:themeShade="BF"/>
                <w:spacing w:val="-4"/>
                <w:lang w:val="en-GB"/>
              </w:rPr>
              <w:t>kód</w:t>
            </w:r>
            <w:proofErr w:type="spellEnd"/>
          </w:p>
        </w:tc>
        <w:tc>
          <w:tcPr>
            <w:tcW w:w="7478" w:type="dxa"/>
          </w:tcPr>
          <w:p w14:paraId="6150D1DD" w14:textId="77777777" w:rsidR="00FF5398" w:rsidRPr="002F4AC8" w:rsidRDefault="004A16D5" w:rsidP="00DA1851">
            <w:pPr>
              <w:pStyle w:val="TableParagraph"/>
              <w:spacing w:line="276" w:lineRule="auto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  <w:t>ROHU-297</w:t>
            </w:r>
          </w:p>
        </w:tc>
      </w:tr>
      <w:tr w:rsidR="002F4AC8" w:rsidRPr="002F4AC8" w14:paraId="60A1639A" w14:textId="77777777">
        <w:trPr>
          <w:trHeight w:val="777"/>
        </w:trPr>
        <w:tc>
          <w:tcPr>
            <w:tcW w:w="2264" w:type="dxa"/>
          </w:tcPr>
          <w:p w14:paraId="525DEB61" w14:textId="6D0D7F50" w:rsidR="00FF5398" w:rsidRPr="002F4AC8" w:rsidRDefault="004A16D5" w:rsidP="00DA1851">
            <w:pPr>
              <w:pStyle w:val="TableParagraph"/>
              <w:spacing w:line="276" w:lineRule="auto"/>
              <w:ind w:left="12" w:right="3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>Proje</w:t>
            </w:r>
            <w:r w:rsidR="00CD15A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>k</w:t>
            </w: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>t</w:t>
            </w: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5"/>
                <w:lang w:val="en-GB"/>
              </w:rPr>
              <w:t xml:space="preserve"> </w:t>
            </w:r>
            <w:proofErr w:type="spellStart"/>
            <w:r w:rsidR="00CD15A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>cím</w:t>
            </w:r>
            <w:proofErr w:type="spellEnd"/>
          </w:p>
        </w:tc>
        <w:tc>
          <w:tcPr>
            <w:tcW w:w="7478" w:type="dxa"/>
          </w:tcPr>
          <w:p w14:paraId="781BC17A" w14:textId="77777777" w:rsidR="00FF5398" w:rsidRPr="002F4AC8" w:rsidRDefault="004A16D5" w:rsidP="00DA1851">
            <w:pPr>
              <w:pStyle w:val="TableParagraph"/>
              <w:spacing w:before="33" w:line="276" w:lineRule="auto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>COMODI</w:t>
            </w:r>
          </w:p>
          <w:p w14:paraId="5BDA4BF9" w14:textId="0CF4706C" w:rsidR="00FF5398" w:rsidRPr="002F4AC8" w:rsidRDefault="00CD15AE" w:rsidP="00DA1851">
            <w:pPr>
              <w:pStyle w:val="TableParagraph"/>
              <w:spacing w:before="58" w:line="276" w:lineRule="auto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Múzeumi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Adatbázis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Határon Átnyúló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Nyílt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Modellje</w:t>
            </w:r>
            <w:proofErr w:type="spellEnd"/>
          </w:p>
        </w:tc>
      </w:tr>
      <w:tr w:rsidR="002F4AC8" w:rsidRPr="002F4AC8" w14:paraId="3293DAAD" w14:textId="77777777">
        <w:trPr>
          <w:trHeight w:val="809"/>
        </w:trPr>
        <w:tc>
          <w:tcPr>
            <w:tcW w:w="2264" w:type="dxa"/>
          </w:tcPr>
          <w:p w14:paraId="2A76E41D" w14:textId="53018DA7" w:rsidR="00FF5398" w:rsidRPr="002F4AC8" w:rsidRDefault="00CD15AE" w:rsidP="00DA1851">
            <w:pPr>
              <w:pStyle w:val="TableParagraph"/>
              <w:spacing w:line="276" w:lineRule="auto"/>
              <w:ind w:left="12" w:right="2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90"/>
                <w:lang w:val="en-GB"/>
              </w:rPr>
              <w:t>Prioritási</w:t>
            </w:r>
            <w:proofErr w:type="spellEnd"/>
            <w:r w:rsidR="004A16D5"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14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4"/>
                <w:w w:val="95"/>
                <w:lang w:val="en-GB"/>
              </w:rPr>
              <w:t>tengely</w:t>
            </w:r>
            <w:proofErr w:type="spellEnd"/>
          </w:p>
        </w:tc>
        <w:tc>
          <w:tcPr>
            <w:tcW w:w="7478" w:type="dxa"/>
          </w:tcPr>
          <w:p w14:paraId="2E19E5DB" w14:textId="19D72688" w:rsidR="00FF5398" w:rsidRPr="002F4AC8" w:rsidRDefault="004A16D5" w:rsidP="00DA1851">
            <w:pPr>
              <w:pStyle w:val="TableParagraph"/>
              <w:spacing w:before="12" w:line="276" w:lineRule="auto"/>
              <w:ind w:right="122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6 – </w:t>
            </w:r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Az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intézmények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polgárok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közötti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határon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átnyúló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előmozdítása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Intézmények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közösségek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együttműködése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</w:t>
            </w:r>
          </w:p>
        </w:tc>
      </w:tr>
      <w:tr w:rsidR="002F4AC8" w:rsidRPr="002F4AC8" w14:paraId="7B770513" w14:textId="77777777">
        <w:trPr>
          <w:trHeight w:val="808"/>
        </w:trPr>
        <w:tc>
          <w:tcPr>
            <w:tcW w:w="2264" w:type="dxa"/>
          </w:tcPr>
          <w:p w14:paraId="6D38E9B3" w14:textId="76846392" w:rsidR="00FF5398" w:rsidRPr="002F4AC8" w:rsidRDefault="00CD15AE" w:rsidP="00DA1851">
            <w:pPr>
              <w:pStyle w:val="TableParagraph"/>
              <w:spacing w:line="276" w:lineRule="auto"/>
              <w:ind w:left="714" w:hanging="216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>Beruházási</w:t>
            </w:r>
            <w:proofErr w:type="spellEnd"/>
            <w:r w:rsidR="004A16D5"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>prioritás</w:t>
            </w:r>
            <w:proofErr w:type="spellEnd"/>
          </w:p>
        </w:tc>
        <w:tc>
          <w:tcPr>
            <w:tcW w:w="7478" w:type="dxa"/>
          </w:tcPr>
          <w:p w14:paraId="3B6A637A" w14:textId="5457F873" w:rsidR="00FF5398" w:rsidRPr="002F4AC8" w:rsidRDefault="004A16D5" w:rsidP="002F4AC8">
            <w:pPr>
              <w:pStyle w:val="TableParagraph"/>
              <w:spacing w:before="12" w:line="276" w:lineRule="auto"/>
              <w:jc w:val="lowKashida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color w:val="365F91" w:themeColor="accent1" w:themeShade="BF"/>
                <w:lang w:val="en-GB"/>
              </w:rPr>
              <w:t>11/b,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40"/>
                <w:lang w:val="en-GB"/>
              </w:rPr>
              <w:t xml:space="preserve"> </w:t>
            </w:r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A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jogi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és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adminisztratív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,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valamint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a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polgárok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és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intézmények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közötti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együttműködés</w:t>
            </w:r>
            <w:proofErr w:type="spellEnd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CD15AE"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előmozdítása</w:t>
            </w:r>
            <w:proofErr w:type="spellEnd"/>
          </w:p>
        </w:tc>
      </w:tr>
      <w:tr w:rsidR="002F4AC8" w:rsidRPr="002F4AC8" w14:paraId="00158ACE" w14:textId="77777777">
        <w:trPr>
          <w:trHeight w:val="808"/>
        </w:trPr>
        <w:tc>
          <w:tcPr>
            <w:tcW w:w="2264" w:type="dxa"/>
          </w:tcPr>
          <w:p w14:paraId="200AAE3A" w14:textId="789A0AC1" w:rsidR="00FF5398" w:rsidRPr="002F4AC8" w:rsidRDefault="00CD15AE" w:rsidP="00DA1851">
            <w:pPr>
              <w:pStyle w:val="TableParagraph"/>
              <w:spacing w:line="276" w:lineRule="auto"/>
              <w:ind w:left="774" w:hanging="538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10"/>
                <w:lang w:val="en-GB"/>
              </w:rPr>
              <w:t>Megvalósítási</w:t>
            </w:r>
            <w:proofErr w:type="spellEnd"/>
            <w:r w:rsidR="004A16D5"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10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>időtartam</w:t>
            </w:r>
            <w:proofErr w:type="spellEnd"/>
          </w:p>
        </w:tc>
        <w:tc>
          <w:tcPr>
            <w:tcW w:w="7478" w:type="dxa"/>
          </w:tcPr>
          <w:p w14:paraId="54CAB884" w14:textId="20FB9234" w:rsidR="00FF5398" w:rsidRPr="002F4AC8" w:rsidRDefault="004A16D5" w:rsidP="00DA1851">
            <w:pPr>
              <w:pStyle w:val="TableParagraph"/>
              <w:spacing w:before="185" w:line="276" w:lineRule="auto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21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16"/>
                <w:w w:val="105"/>
                <w:lang w:val="en-GB"/>
              </w:rPr>
              <w:t xml:space="preserve"> </w:t>
            </w:r>
            <w:proofErr w:type="spellStart"/>
            <w:r w:rsid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hónap</w:t>
            </w:r>
            <w:proofErr w:type="spellEnd"/>
            <w:r w:rsidRPr="002F4AC8">
              <w:rPr>
                <w:rFonts w:ascii="Open Sans" w:hAnsi="Open Sans" w:cs="Open Sans"/>
                <w:color w:val="365F91" w:themeColor="accent1" w:themeShade="BF"/>
                <w:spacing w:val="-14"/>
                <w:w w:val="105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(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2018</w:t>
            </w:r>
            <w:r w:rsid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. </w:t>
            </w:r>
            <w:proofErr w:type="spellStart"/>
            <w:r w:rsid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december</w:t>
            </w:r>
            <w:proofErr w:type="spellEnd"/>
            <w:r w:rsid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1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15"/>
                <w:w w:val="105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–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>2020</w:t>
            </w:r>
            <w:r w:rsidR="00CD15A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 xml:space="preserve">. </w:t>
            </w:r>
            <w:proofErr w:type="spellStart"/>
            <w:r w:rsidR="00CD15A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>augusztus</w:t>
            </w:r>
            <w:proofErr w:type="spellEnd"/>
            <w:r w:rsidR="00CD15A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 xml:space="preserve"> 31.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>)</w:t>
            </w:r>
          </w:p>
        </w:tc>
      </w:tr>
      <w:tr w:rsidR="002F4AC8" w:rsidRPr="002F4AC8" w14:paraId="226565CE" w14:textId="77777777">
        <w:trPr>
          <w:trHeight w:val="1843"/>
        </w:trPr>
        <w:tc>
          <w:tcPr>
            <w:tcW w:w="2264" w:type="dxa"/>
          </w:tcPr>
          <w:p w14:paraId="557AB50F" w14:textId="77777777" w:rsidR="00FF5398" w:rsidRPr="002F4AC8" w:rsidRDefault="00FF5398" w:rsidP="00DA1851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5F80F171" w14:textId="77777777" w:rsidR="00FF5398" w:rsidRPr="002F4AC8" w:rsidRDefault="00FF5398" w:rsidP="00DA1851">
            <w:pPr>
              <w:pStyle w:val="TableParagraph"/>
              <w:spacing w:before="175"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70BB603A" w14:textId="213E50A9" w:rsidR="00FF5398" w:rsidRPr="002F4AC8" w:rsidRDefault="00CD15AE" w:rsidP="00DA1851">
            <w:pPr>
              <w:pStyle w:val="TableParagraph"/>
              <w:spacing w:line="276" w:lineRule="auto"/>
              <w:ind w:left="12" w:right="5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>Célkitűzés</w:t>
            </w:r>
            <w:proofErr w:type="spellEnd"/>
          </w:p>
        </w:tc>
        <w:tc>
          <w:tcPr>
            <w:tcW w:w="7478" w:type="dxa"/>
          </w:tcPr>
          <w:p w14:paraId="5F678BA7" w14:textId="679B6596" w:rsidR="00FF5398" w:rsidRPr="002F4AC8" w:rsidRDefault="00CD15AE" w:rsidP="002F4AC8">
            <w:pPr>
              <w:pStyle w:val="TableParagraph"/>
              <w:spacing w:before="15" w:line="276" w:lineRule="auto"/>
              <w:jc w:val="lowKashida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A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fő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célkitűzése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olyan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új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megoldások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bevezetése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megvalósítása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) volt,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amelyek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kettős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célt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szolgálnak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: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egyrészt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hozzáférést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biztosítanak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digitalizált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örökséghez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–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különösen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régészeti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adatforrásokhoz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gyűjteményekhez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–,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ezáltal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terjesztve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régió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történelmével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kultúrájával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kapcsolatos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ismereteket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másrészt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megerősítik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határon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átnyúló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intézményi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.</w:t>
            </w:r>
          </w:p>
        </w:tc>
      </w:tr>
      <w:tr w:rsidR="002F4AC8" w:rsidRPr="002F4AC8" w14:paraId="31E911AD" w14:textId="77777777" w:rsidTr="005C0585">
        <w:trPr>
          <w:trHeight w:val="723"/>
        </w:trPr>
        <w:tc>
          <w:tcPr>
            <w:tcW w:w="2264" w:type="dxa"/>
            <w:vMerge w:val="restart"/>
          </w:tcPr>
          <w:p w14:paraId="26FF4509" w14:textId="77777777" w:rsidR="00FF5398" w:rsidRPr="002F4AC8" w:rsidRDefault="00FF5398" w:rsidP="00DA1851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2A0842C3" w14:textId="77777777" w:rsidR="00FF5398" w:rsidRPr="002F4AC8" w:rsidRDefault="00FF5398" w:rsidP="00DA1851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19F5FA2D" w14:textId="77777777" w:rsidR="00FF5398" w:rsidRPr="002F4AC8" w:rsidRDefault="00FF5398" w:rsidP="00DA1851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0C8B40D4" w14:textId="77777777" w:rsidR="00FF5398" w:rsidRPr="002F4AC8" w:rsidRDefault="00FF5398" w:rsidP="00DA1851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5542CC7F" w14:textId="77777777" w:rsidR="00FF5398" w:rsidRPr="002F4AC8" w:rsidRDefault="00FF5398" w:rsidP="00DA1851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7EAC08E9" w14:textId="77777777" w:rsidR="00FF5398" w:rsidRPr="002F4AC8" w:rsidRDefault="00FF5398" w:rsidP="00DA1851">
            <w:pPr>
              <w:pStyle w:val="TableParagraph"/>
              <w:spacing w:before="119" w:line="276" w:lineRule="auto"/>
              <w:ind w:left="0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</w:p>
          <w:p w14:paraId="28DEDE9D" w14:textId="20E324B0" w:rsidR="00FF5398" w:rsidRPr="002F4AC8" w:rsidRDefault="00CD15AE" w:rsidP="00DA1851">
            <w:pPr>
              <w:pStyle w:val="TableParagraph"/>
              <w:spacing w:line="276" w:lineRule="auto"/>
              <w:ind w:left="479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>Partnerség</w:t>
            </w:r>
            <w:proofErr w:type="spellEnd"/>
          </w:p>
        </w:tc>
        <w:tc>
          <w:tcPr>
            <w:tcW w:w="7478" w:type="dxa"/>
          </w:tcPr>
          <w:p w14:paraId="090EEC34" w14:textId="4DA37883" w:rsidR="00FF5398" w:rsidRPr="002F4AC8" w:rsidRDefault="00CD15AE" w:rsidP="005C0585">
            <w:pPr>
              <w:pStyle w:val="TableParagraph"/>
              <w:spacing w:line="276" w:lineRule="auto"/>
              <w:ind w:left="108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color w:val="365F91" w:themeColor="accent1" w:themeShade="BF"/>
                <w:lang w:val="en-GB"/>
              </w:rPr>
              <w:t>Vezető</w:t>
            </w:r>
            <w:proofErr w:type="spellEnd"/>
            <w:r w:rsidR="004A16D5" w:rsidRPr="002F4AC8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365F91" w:themeColor="accent1" w:themeShade="BF"/>
                <w:lang w:val="en-GB"/>
              </w:rPr>
              <w:t>Kedvezményezett</w:t>
            </w:r>
            <w:proofErr w:type="spellEnd"/>
            <w:r w:rsidR="004A16D5" w:rsidRPr="002F4AC8">
              <w:rPr>
                <w:rFonts w:ascii="Open Sans" w:hAnsi="Open Sans" w:cs="Open Sans"/>
                <w:color w:val="365F91" w:themeColor="accent1" w:themeShade="BF"/>
                <w:lang w:val="en-GB"/>
              </w:rPr>
              <w:t>:</w:t>
            </w:r>
          </w:p>
          <w:p w14:paraId="1C883F17" w14:textId="7130CC2C" w:rsidR="00FF5398" w:rsidRPr="002F4AC8" w:rsidRDefault="004A16D5" w:rsidP="005C0585">
            <w:pPr>
              <w:pStyle w:val="TableParagraph"/>
              <w:spacing w:line="276" w:lineRule="auto"/>
              <w:ind w:left="108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Jósa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8"/>
                <w:w w:val="105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András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6"/>
                <w:w w:val="105"/>
                <w:lang w:val="en-GB"/>
              </w:rPr>
              <w:t xml:space="preserve"> </w:t>
            </w:r>
            <w:proofErr w:type="spellStart"/>
            <w:r w:rsid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</w:t>
            </w:r>
            <w:proofErr w:type="spellEnd"/>
            <w:r w:rsidRPr="002F4AC8">
              <w:rPr>
                <w:rFonts w:ascii="Open Sans" w:hAnsi="Open Sans" w:cs="Open Sans"/>
                <w:color w:val="365F91" w:themeColor="accent1" w:themeShade="BF"/>
                <w:spacing w:val="-5"/>
                <w:w w:val="105"/>
                <w:lang w:val="en-GB"/>
              </w:rPr>
              <w:t xml:space="preserve"> </w:t>
            </w:r>
            <w:r w:rsidRPr="002F4AC8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>(</w:t>
            </w:r>
            <w:proofErr w:type="spellStart"/>
            <w:r w:rsidR="00CD15A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>Magyarország</w:t>
            </w:r>
            <w:proofErr w:type="spellEnd"/>
            <w:r w:rsidRPr="002F4AC8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  <w:lang w:val="en-GB"/>
              </w:rPr>
              <w:t>)</w:t>
            </w:r>
          </w:p>
        </w:tc>
      </w:tr>
      <w:tr w:rsidR="002F4AC8" w:rsidRPr="002F4AC8" w14:paraId="70FB8745" w14:textId="77777777" w:rsidTr="005C0585">
        <w:trPr>
          <w:trHeight w:val="2122"/>
        </w:trPr>
        <w:tc>
          <w:tcPr>
            <w:tcW w:w="2264" w:type="dxa"/>
            <w:vMerge/>
            <w:tcBorders>
              <w:top w:val="nil"/>
            </w:tcBorders>
          </w:tcPr>
          <w:p w14:paraId="5557D5CA" w14:textId="77777777" w:rsidR="00FF5398" w:rsidRPr="002F4AC8" w:rsidRDefault="00FF5398" w:rsidP="00DA1851">
            <w:pPr>
              <w:spacing w:line="276" w:lineRule="auto"/>
              <w:rPr>
                <w:rFonts w:ascii="Open Sans" w:hAnsi="Open Sans" w:cs="Open Sans"/>
                <w:b/>
                <w:bCs/>
                <w:color w:val="365F91" w:themeColor="accent1" w:themeShade="BF"/>
                <w:sz w:val="2"/>
                <w:szCs w:val="2"/>
                <w:lang w:val="en-GB"/>
              </w:rPr>
            </w:pPr>
          </w:p>
        </w:tc>
        <w:tc>
          <w:tcPr>
            <w:tcW w:w="7478" w:type="dxa"/>
          </w:tcPr>
          <w:p w14:paraId="25B18C36" w14:textId="7E42FA9B" w:rsidR="00FF5398" w:rsidRPr="002F4AC8" w:rsidRDefault="004A16D5" w:rsidP="005C0585">
            <w:pPr>
              <w:pStyle w:val="TableParagraph"/>
              <w:ind w:left="0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2F4AC8">
              <w:rPr>
                <w:rFonts w:ascii="Open Sans" w:hAnsi="Open Sans" w:cs="Open Sans"/>
                <w:color w:val="365F91" w:themeColor="accent1" w:themeShade="BF"/>
                <w:lang w:val="en-GB"/>
              </w:rPr>
              <w:t>Proje</w:t>
            </w:r>
            <w:r w:rsid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k</w:t>
            </w:r>
            <w:r w:rsidRPr="002F4AC8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t </w:t>
            </w:r>
            <w:proofErr w:type="spellStart"/>
            <w:r w:rsidRPr="002F4AC8">
              <w:rPr>
                <w:rFonts w:ascii="Open Sans" w:hAnsi="Open Sans" w:cs="Open Sans"/>
                <w:color w:val="365F91" w:themeColor="accent1" w:themeShade="BF"/>
                <w:lang w:val="en-GB"/>
              </w:rPr>
              <w:t>Partner</w:t>
            </w:r>
            <w:r w:rsid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ek</w:t>
            </w:r>
            <w:proofErr w:type="spellEnd"/>
            <w:r w:rsidRPr="002F4AC8">
              <w:rPr>
                <w:rFonts w:ascii="Open Sans" w:hAnsi="Open Sans" w:cs="Open Sans"/>
                <w:color w:val="365F91" w:themeColor="accent1" w:themeShade="BF"/>
                <w:lang w:val="en-GB"/>
              </w:rPr>
              <w:t>:</w:t>
            </w:r>
          </w:p>
          <w:p w14:paraId="27D5A98C" w14:textId="77777777" w:rsidR="00CD15AE" w:rsidRDefault="00CD15AE" w:rsidP="00CD15AE">
            <w:pPr>
              <w:pStyle w:val="TableParagraph"/>
              <w:spacing w:before="175"/>
              <w:ind w:right="2297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PP2: Satu Mare Megyei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Románia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</w:t>
            </w:r>
          </w:p>
          <w:p w14:paraId="64E60CDB" w14:textId="6321EEDE" w:rsidR="00CD15AE" w:rsidRPr="00CD15AE" w:rsidRDefault="00CD15AE" w:rsidP="00CD15AE">
            <w:pPr>
              <w:pStyle w:val="TableParagraph"/>
              <w:spacing w:before="175"/>
              <w:ind w:right="2297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PP3: Csenger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Város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Önkormányzata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Magyarország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</w:t>
            </w:r>
          </w:p>
          <w:p w14:paraId="3F3B1C4A" w14:textId="2F7860E5" w:rsidR="00CD15AE" w:rsidRDefault="00CD15AE" w:rsidP="00CD15AE">
            <w:pPr>
              <w:pStyle w:val="TableParagraph"/>
              <w:spacing w:before="175"/>
              <w:ind w:right="2297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PP4: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Geszterédi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Aranyszablya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Társaság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Magyarország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</w:t>
            </w:r>
          </w:p>
          <w:p w14:paraId="4A564EC3" w14:textId="126B7383" w:rsidR="00CD15AE" w:rsidRPr="00CD15AE" w:rsidRDefault="00CD15AE" w:rsidP="00CD15AE">
            <w:pPr>
              <w:pStyle w:val="TableParagraph"/>
              <w:spacing w:before="175"/>
              <w:ind w:right="2297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PP5: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Tasnad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Város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Románia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</w:t>
            </w:r>
          </w:p>
          <w:p w14:paraId="297E6528" w14:textId="6C18757D" w:rsidR="00FF5398" w:rsidRPr="002F4AC8" w:rsidRDefault="00CD15AE" w:rsidP="00CD15AE">
            <w:pPr>
              <w:pStyle w:val="TableParagraph"/>
              <w:spacing w:before="1" w:line="276" w:lineRule="auto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PP6: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Vetiș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Község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Románia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</w:t>
            </w:r>
          </w:p>
        </w:tc>
      </w:tr>
      <w:tr w:rsidR="002F4AC8" w:rsidRPr="002F4AC8" w14:paraId="06301669" w14:textId="77777777">
        <w:trPr>
          <w:trHeight w:val="1547"/>
        </w:trPr>
        <w:tc>
          <w:tcPr>
            <w:tcW w:w="2264" w:type="dxa"/>
          </w:tcPr>
          <w:p w14:paraId="7C8156CD" w14:textId="66F6F42B" w:rsidR="00FF5398" w:rsidRPr="002F4AC8" w:rsidRDefault="00CD15AE" w:rsidP="00DA1851">
            <w:pPr>
              <w:pStyle w:val="TableParagraph"/>
              <w:spacing w:line="276" w:lineRule="auto"/>
              <w:ind w:left="12" w:right="6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85"/>
                <w:lang w:val="en-GB"/>
              </w:rPr>
              <w:t>Teljes</w:t>
            </w:r>
            <w:proofErr w:type="spellEnd"/>
            <w:r w:rsidR="004A16D5"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3"/>
                <w:w w:val="85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5"/>
                <w:lang w:val="en-GB"/>
              </w:rPr>
              <w:t>költségvetés</w:t>
            </w:r>
            <w:proofErr w:type="spellEnd"/>
          </w:p>
        </w:tc>
        <w:tc>
          <w:tcPr>
            <w:tcW w:w="7478" w:type="dxa"/>
          </w:tcPr>
          <w:p w14:paraId="45151ED1" w14:textId="3CC2FB5D" w:rsidR="00CD15AE" w:rsidRPr="00CD15AE" w:rsidRDefault="00CD15AE" w:rsidP="00CD15AE">
            <w:pPr>
              <w:pStyle w:val="TableParagraph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390 775,00 €,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amelyből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az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ERFA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Európai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Regionális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Fejlesztési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Alap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)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támogatás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: 332 158,75 €</w:t>
            </w:r>
          </w:p>
          <w:p w14:paraId="365D9EDF" w14:textId="564C00AE" w:rsidR="00FF5398" w:rsidRDefault="00CD15AE" w:rsidP="00CD15AE">
            <w:pPr>
              <w:pStyle w:val="TableParagraph"/>
              <w:ind w:left="0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A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keretében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igazolt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összes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elszámolható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költség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lang w:val="en-GB"/>
              </w:rPr>
              <w:t>: 362 959,55 €</w:t>
            </w:r>
          </w:p>
          <w:p w14:paraId="581F4632" w14:textId="77777777" w:rsidR="00CD15AE" w:rsidRPr="002F4AC8" w:rsidRDefault="00CD15AE" w:rsidP="00CD15AE">
            <w:pPr>
              <w:pStyle w:val="TableParagraph"/>
              <w:ind w:left="0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</w:p>
          <w:p w14:paraId="40A49D37" w14:textId="2DD42285" w:rsidR="00FF5398" w:rsidRPr="002F4AC8" w:rsidRDefault="00CD15AE" w:rsidP="005C0585">
            <w:pPr>
              <w:pStyle w:val="TableParagraph"/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i/>
                <w:color w:val="365F91" w:themeColor="accent1" w:themeShade="BF"/>
                <w:spacing w:val="-4"/>
                <w:lang w:val="en-GB"/>
              </w:rPr>
              <w:t>Költségvetés</w:t>
            </w:r>
            <w:proofErr w:type="spellEnd"/>
            <w:r>
              <w:rPr>
                <w:rFonts w:ascii="Open Sans" w:hAnsi="Open Sans" w:cs="Open Sans"/>
                <w:b/>
                <w:i/>
                <w:color w:val="365F91" w:themeColor="accent1" w:themeShade="BF"/>
                <w:spacing w:val="-4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365F91" w:themeColor="accent1" w:themeShade="BF"/>
                <w:spacing w:val="-4"/>
                <w:lang w:val="en-GB"/>
              </w:rPr>
              <w:t>felhasználási</w:t>
            </w:r>
            <w:proofErr w:type="spellEnd"/>
            <w:r>
              <w:rPr>
                <w:rFonts w:ascii="Open Sans" w:hAnsi="Open Sans" w:cs="Open Sans"/>
                <w:b/>
                <w:i/>
                <w:color w:val="365F91" w:themeColor="accent1" w:themeShade="BF"/>
                <w:spacing w:val="-4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365F91" w:themeColor="accent1" w:themeShade="BF"/>
                <w:spacing w:val="-4"/>
                <w:lang w:val="en-GB"/>
              </w:rPr>
              <w:t>aránya</w:t>
            </w:r>
            <w:proofErr w:type="spellEnd"/>
            <w:r w:rsidR="004A16D5" w:rsidRPr="002F4AC8">
              <w:rPr>
                <w:rFonts w:ascii="Open Sans" w:hAnsi="Open Sans" w:cs="Open Sans"/>
                <w:b/>
                <w:i/>
                <w:color w:val="365F91" w:themeColor="accent1" w:themeShade="BF"/>
                <w:spacing w:val="-4"/>
                <w:lang w:val="en-GB"/>
              </w:rPr>
              <w:t>:</w:t>
            </w:r>
            <w:r w:rsidR="004A16D5" w:rsidRPr="002F4AC8">
              <w:rPr>
                <w:rFonts w:ascii="Open Sans" w:hAnsi="Open Sans" w:cs="Open Sans"/>
                <w:b/>
                <w:i/>
                <w:color w:val="365F91" w:themeColor="accent1" w:themeShade="BF"/>
                <w:spacing w:val="-6"/>
                <w:lang w:val="en-GB"/>
              </w:rPr>
              <w:t xml:space="preserve"> </w:t>
            </w:r>
            <w:r w:rsidR="004A16D5" w:rsidRPr="002F4AC8">
              <w:rPr>
                <w:rFonts w:ascii="Open Sans" w:hAnsi="Open Sans" w:cs="Open Sans"/>
                <w:b/>
                <w:i/>
                <w:color w:val="365F91" w:themeColor="accent1" w:themeShade="BF"/>
                <w:spacing w:val="-4"/>
                <w:lang w:val="en-GB"/>
              </w:rPr>
              <w:t>92.88%</w:t>
            </w:r>
          </w:p>
        </w:tc>
      </w:tr>
      <w:tr w:rsidR="002F4AC8" w:rsidRPr="002F4AC8" w14:paraId="24C467AC" w14:textId="77777777">
        <w:trPr>
          <w:trHeight w:val="1034"/>
        </w:trPr>
        <w:tc>
          <w:tcPr>
            <w:tcW w:w="2264" w:type="dxa"/>
          </w:tcPr>
          <w:p w14:paraId="7DD85BEF" w14:textId="6BAB7EC3" w:rsidR="00FF5398" w:rsidRPr="002F4AC8" w:rsidRDefault="00CD15AE" w:rsidP="00DA1851">
            <w:pPr>
              <w:pStyle w:val="TableParagraph"/>
              <w:spacing w:before="250" w:line="276" w:lineRule="auto"/>
              <w:ind w:left="12" w:right="4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lastRenderedPageBreak/>
              <w:t>Összefoglaló</w:t>
            </w:r>
            <w:proofErr w:type="spellEnd"/>
          </w:p>
        </w:tc>
        <w:tc>
          <w:tcPr>
            <w:tcW w:w="7478" w:type="dxa"/>
          </w:tcPr>
          <w:p w14:paraId="03EDF85F" w14:textId="3E40DFCF" w:rsidR="002C7D0B" w:rsidRDefault="00CD15AE" w:rsidP="00DA1851">
            <w:pPr>
              <w:pStyle w:val="TableParagraph"/>
              <w:spacing w:before="91" w:line="276" w:lineRule="auto"/>
              <w:ind w:left="0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A ROHU-297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célja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fokozása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volt Szabolcs-Szatmár-Bereg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megye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(HU)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Satu Mare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megye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(RO)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intézményei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között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román-magyar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határ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mindkét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oldalán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hozzájárulva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ezáltal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közös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helyi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történelmi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régészeti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örökség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megőrzéséhez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terjesztéséhez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.</w:t>
            </w:r>
          </w:p>
          <w:p w14:paraId="21BC018D" w14:textId="77777777" w:rsidR="00CD15AE" w:rsidRPr="002F4AC8" w:rsidRDefault="00CD15AE" w:rsidP="00DA1851">
            <w:pPr>
              <w:pStyle w:val="TableParagraph"/>
              <w:spacing w:before="91" w:line="276" w:lineRule="auto"/>
              <w:ind w:left="0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</w:p>
          <w:p w14:paraId="18032E19" w14:textId="77777777" w:rsidR="00CD15AE" w:rsidRPr="00CD15AE" w:rsidRDefault="00CD15AE" w:rsidP="00CD15AE">
            <w:pPr>
              <w:pStyle w:val="TableParagraph"/>
              <w:tabs>
                <w:tab w:val="left" w:pos="535"/>
              </w:tabs>
              <w:spacing w:before="78" w:line="276" w:lineRule="auto"/>
              <w:ind w:left="0" w:right="185"/>
              <w:jc w:val="lowKashida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A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keretében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megvalósított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főbb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tevékenységek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:</w:t>
            </w:r>
          </w:p>
          <w:p w14:paraId="18462B74" w14:textId="77777777" w:rsidR="00CD15AE" w:rsidRPr="00CD15AE" w:rsidRDefault="00CD15AE" w:rsidP="00CD15AE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78" w:line="276" w:lineRule="auto"/>
              <w:ind w:right="185"/>
              <w:jc w:val="lowKashida"/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</w:pP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közgyűjtemények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modelljének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adatbázisainak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fejlesztése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kutatás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eszközbeszerzés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képzés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),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azok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hatékony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használata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valamint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turisztikai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szférában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való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versenyképességük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biztosítása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érdekében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;</w:t>
            </w:r>
          </w:p>
          <w:p w14:paraId="56FDD19D" w14:textId="1FC3E210" w:rsidR="00CD15AE" w:rsidRPr="00CD15AE" w:rsidRDefault="00CD15AE" w:rsidP="00CD15AE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78" w:line="276" w:lineRule="auto"/>
              <w:ind w:right="185"/>
              <w:jc w:val="lowKashida"/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múzeumok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gyakorlati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alkalmazásainak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létrehozása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workshopok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oktatás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szemléletformálás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útmutatók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monográfiák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brosúrák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készítése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modernizált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virtuális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kiállítások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);</w:t>
            </w:r>
          </w:p>
          <w:p w14:paraId="625F5105" w14:textId="5E0C8038" w:rsidR="00CD15AE" w:rsidRPr="00CD15AE" w:rsidRDefault="00CD15AE" w:rsidP="00CD15AE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78" w:line="276" w:lineRule="auto"/>
              <w:ind w:right="185"/>
              <w:jc w:val="lowKashida"/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4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workshop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műhelytalálkozó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)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megszervezése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;</w:t>
            </w:r>
          </w:p>
          <w:p w14:paraId="7DB4169D" w14:textId="2F2CB642" w:rsidR="00CD15AE" w:rsidRPr="00CD15AE" w:rsidRDefault="00CD15AE" w:rsidP="00CD15AE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78" w:line="276" w:lineRule="auto"/>
              <w:ind w:right="185"/>
              <w:jc w:val="lowKashida"/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a 6 partner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megvalósítás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során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4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személyes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találkozót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tartott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workshopok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formájában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amelyekbe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határ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mindkét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oldaláról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vontak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be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szakértőket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megosztva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elképzeléseiket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tapasztalataikat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;</w:t>
            </w:r>
          </w:p>
          <w:p w14:paraId="5D457255" w14:textId="77777777" w:rsidR="00CD15AE" w:rsidRPr="00CD15AE" w:rsidRDefault="00CD15AE" w:rsidP="00CD15AE">
            <w:pPr>
              <w:pStyle w:val="TableParagraph"/>
              <w:numPr>
                <w:ilvl w:val="0"/>
                <w:numId w:val="3"/>
              </w:numPr>
              <w:spacing w:before="99" w:line="276" w:lineRule="auto"/>
              <w:rPr>
                <w:rFonts w:ascii="Open Sans" w:hAnsi="Open Sans" w:cs="Open Sans"/>
                <w:color w:val="365F91" w:themeColor="accent1" w:themeShade="BF"/>
                <w:spacing w:val="-2"/>
                <w:lang w:val="en-GB"/>
              </w:rPr>
            </w:pP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számos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kiadvány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megjelentetése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amelyek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összehangolt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kommunikációs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tevékenységeivel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együtt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új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turisztikai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látogatásokat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generálnak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határon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átnyúló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régióban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.</w:t>
            </w:r>
          </w:p>
          <w:p w14:paraId="5F67E5B9" w14:textId="7E6DB464" w:rsidR="002F4AC8" w:rsidRDefault="00CD15AE" w:rsidP="00DA1851">
            <w:pPr>
              <w:pStyle w:val="TableParagraph"/>
              <w:spacing w:before="99" w:line="276" w:lineRule="auto"/>
              <w:ind w:left="0"/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partnerek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együttműködése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rendezvények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keretében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megszervezett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képzési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program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szakértők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menedzserek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egy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olyan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integrált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helyi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bázisát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hozták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létre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amely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képes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fenntartani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bővíteni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eredményeit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valamint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jövőben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még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több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határon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átnyúló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interakciót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generálni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10"/>
                <w:lang w:val="en-GB"/>
              </w:rPr>
              <w:t>.</w:t>
            </w:r>
          </w:p>
          <w:p w14:paraId="2BBC9C15" w14:textId="77777777" w:rsidR="00CD15AE" w:rsidRPr="002F4AC8" w:rsidRDefault="00CD15AE" w:rsidP="00DA1851">
            <w:pPr>
              <w:pStyle w:val="TableParagraph"/>
              <w:spacing w:before="99" w:line="276" w:lineRule="auto"/>
              <w:ind w:left="0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</w:p>
          <w:p w14:paraId="296863AB" w14:textId="394AF1A0" w:rsidR="00FF5398" w:rsidRPr="002F4AC8" w:rsidRDefault="00CD15AE" w:rsidP="002F4AC8">
            <w:pPr>
              <w:pStyle w:val="TableParagraph"/>
              <w:spacing w:before="1" w:line="276" w:lineRule="auto"/>
              <w:ind w:right="966"/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</w:pPr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2020.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augusztus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31-én a projekt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sikeresen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lezárult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. A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projektben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előrejelzett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összes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tevékenység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teljes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körűen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 xml:space="preserve"> (100%-ban) </w:t>
            </w:r>
            <w:proofErr w:type="spellStart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megvalósult</w:t>
            </w:r>
            <w:proofErr w:type="spellEnd"/>
            <w:r w:rsidRPr="00CD15AE">
              <w:rPr>
                <w:rFonts w:ascii="Open Sans" w:hAnsi="Open Sans" w:cs="Open Sans"/>
                <w:b/>
                <w:i/>
                <w:color w:val="365F91" w:themeColor="accent1" w:themeShade="BF"/>
                <w:lang w:val="en-GB"/>
              </w:rPr>
              <w:t>.</w:t>
            </w:r>
          </w:p>
        </w:tc>
      </w:tr>
      <w:tr w:rsidR="002C7D0B" w:rsidRPr="002F4AC8" w14:paraId="351BBA96" w14:textId="77777777">
        <w:trPr>
          <w:trHeight w:val="1034"/>
        </w:trPr>
        <w:tc>
          <w:tcPr>
            <w:tcW w:w="2264" w:type="dxa"/>
          </w:tcPr>
          <w:p w14:paraId="7153572A" w14:textId="640D6EB5" w:rsidR="002C7D0B" w:rsidRPr="002F4AC8" w:rsidRDefault="00CD15AE" w:rsidP="00DA1851">
            <w:pPr>
              <w:pStyle w:val="TableParagraph"/>
              <w:spacing w:before="250" w:line="276" w:lineRule="auto"/>
              <w:ind w:left="12" w:right="4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lastRenderedPageBreak/>
              <w:t>Fő</w:t>
            </w:r>
            <w:proofErr w:type="spellEnd"/>
            <w:r w:rsidR="002C7D0B" w:rsidRPr="002F4AC8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lang w:val="en-GB"/>
              </w:rPr>
              <w:t>eredmények</w:t>
            </w:r>
            <w:proofErr w:type="spellEnd"/>
          </w:p>
        </w:tc>
        <w:tc>
          <w:tcPr>
            <w:tcW w:w="7478" w:type="dxa"/>
          </w:tcPr>
          <w:p w14:paraId="68F627BC" w14:textId="2352E58D" w:rsidR="002C7D0B" w:rsidRPr="002F4AC8" w:rsidRDefault="00CD15AE" w:rsidP="00DA1851">
            <w:pPr>
              <w:pStyle w:val="TableParagraph"/>
              <w:spacing w:before="13" w:line="276" w:lineRule="auto"/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  <w:t>Eredmények</w:t>
            </w:r>
            <w:proofErr w:type="spellEnd"/>
          </w:p>
          <w:p w14:paraId="7DCA4B24" w14:textId="77777777" w:rsidR="00CD15AE" w:rsidRPr="00CD15AE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1)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Közgyűjtemények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modelljének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kifejlesztése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közös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modell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hatékony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versenyképes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múzeumokért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);</w:t>
            </w:r>
          </w:p>
          <w:p w14:paraId="3E3A4D01" w14:textId="77777777" w:rsidR="00CD15AE" w:rsidRPr="00CD15AE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2)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gyakorlati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alkalmazásai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szakemberek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közötti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kultúrára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nyitott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polgárok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bevonása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révén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);</w:t>
            </w:r>
          </w:p>
          <w:p w14:paraId="35BDB974" w14:textId="77777777" w:rsidR="00CD15AE" w:rsidRPr="00CD15AE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3)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hagyományos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kiterjesztése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virtuális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térbe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vonzó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új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kiállítások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konferenciák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segítségével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);</w:t>
            </w:r>
          </w:p>
          <w:p w14:paraId="39D79D3F" w14:textId="77777777" w:rsidR="00CD15AE" w:rsidRPr="00CD15AE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4) 4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workshop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kiemelten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fókuszálva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IKT-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szektor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új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trendjeire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lehetőségeire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valamint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múzeumokban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közgyűjteményekben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alkalmazható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virtuális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alkalmazásokra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), 3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útmutató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2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monográfia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2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nemzetközi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kiadvány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1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adatbázis-kezelési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képzés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20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résztvevő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számára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1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gyakorlati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képzés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helyszíni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bejárásokkal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terepmunkával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30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résztvevő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számára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valamint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1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brosúra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;</w:t>
            </w:r>
          </w:p>
          <w:p w14:paraId="7EC6E8D9" w14:textId="77777777" w:rsidR="00CD15AE" w:rsidRPr="00CD15AE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5) 2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vándorkiállítás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holografikus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bemutatásra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összpontosítva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), 1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virtuális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kiállítás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1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felszerelt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állandó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helyi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kiállítás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Vetiș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községben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(Satu Mare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megye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),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valamint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új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adatbázisok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által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kínált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lehetőségeket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bemutató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film;</w:t>
            </w:r>
          </w:p>
          <w:p w14:paraId="38F7765D" w14:textId="77777777" w:rsidR="00CD15AE" w:rsidRPr="00CD15AE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6) 2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nemzetközi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konferencia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Nyíregyháza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-Geszteréden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Satu Maréban, 40-40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résztvevővel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);</w:t>
            </w:r>
          </w:p>
          <w:p w14:paraId="0EB91578" w14:textId="62732A11" w:rsidR="002C7D0B" w:rsidRPr="002F4AC8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7)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Komplex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mikrorégiós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feltárás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invazív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kutatás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roncsolásos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régészeti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kutatás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),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geofizikai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kutatás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anyagvizsgálat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határon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átnyúló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régészeti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terepkutatás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.</w:t>
            </w:r>
          </w:p>
          <w:p w14:paraId="43083627" w14:textId="082904FD" w:rsidR="002C7D0B" w:rsidRPr="002F4AC8" w:rsidRDefault="00CD15AE" w:rsidP="00DA1851">
            <w:pPr>
              <w:pStyle w:val="TableParagraph"/>
              <w:spacing w:before="13" w:line="276" w:lineRule="auto"/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  <w:t>Elért</w:t>
            </w:r>
            <w:proofErr w:type="spellEnd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  <w:t>eredmények</w:t>
            </w:r>
            <w:proofErr w:type="spellEnd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  <w:t>:</w:t>
            </w:r>
          </w:p>
          <w:p w14:paraId="7BE59893" w14:textId="77777777" w:rsidR="00CD15AE" w:rsidRPr="00CD15AE" w:rsidRDefault="00CD15AE" w:rsidP="00CD15AE">
            <w:pPr>
              <w:pStyle w:val="TableParagraph"/>
              <w:spacing w:before="13" w:line="276" w:lineRule="auto"/>
              <w:jc w:val="lowKashida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1)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széles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körű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nyilvánosság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valamint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felsőoktatási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kutatóintézetek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alaposabb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tájékoztatást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kaptak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Szatmár/Satu Mare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régió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történelméről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kultúrájáról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bevezetett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új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digitális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megoldások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workshopok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alkalmazások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útmutatók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brosúrák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stb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.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révén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.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Valamennyi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megvalósított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tevékenység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lehetővé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tette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releváns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regionális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látnivalók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népszerűsítését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hozzájárult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közös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értékek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megőrzéséhez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megerősítítette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határon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átnyúló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kulturális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intézményi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.</w:t>
            </w:r>
          </w:p>
          <w:p w14:paraId="63820111" w14:textId="591F1DBE" w:rsidR="002C7D0B" w:rsidRPr="002F4AC8" w:rsidRDefault="00CD15AE" w:rsidP="00CD15AE">
            <w:pPr>
              <w:pStyle w:val="TableParagraph"/>
              <w:spacing w:before="13" w:line="276" w:lineRule="auto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2)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határ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két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oldalán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kifejlesztett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2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kompatibilis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adatbázis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amely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megközelítőleg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1700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rekordot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2500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dokumentumot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tartalmaz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)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legkorszerűbb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megoldásokat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biztosította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múzeumok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számára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modern kor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technológiájának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hatékony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kiaknázásához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lastRenderedPageBreak/>
              <w:t>valamint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ahhoz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hogy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versenyképesek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legyenek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mind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szakmai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, mind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turisztikai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szférában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.</w:t>
            </w:r>
          </w:p>
          <w:p w14:paraId="304A5815" w14:textId="4AAD30C4" w:rsidR="005C0585" w:rsidRPr="002F4AC8" w:rsidRDefault="00CD15AE" w:rsidP="00DA1851">
            <w:pPr>
              <w:pStyle w:val="TableParagraph"/>
              <w:spacing w:before="13" w:line="276" w:lineRule="auto"/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  <w:t>Indikátor</w:t>
            </w:r>
            <w:proofErr w:type="spellEnd"/>
            <w:r>
              <w:rPr>
                <w:rFonts w:ascii="Open Sans" w:hAnsi="Open Sans" w:cs="Open Sans"/>
                <w:b/>
                <w:bCs/>
                <w:color w:val="365F91" w:themeColor="accent1" w:themeShade="BF"/>
                <w:w w:val="105"/>
                <w:lang w:val="en-GB"/>
              </w:rPr>
              <w:t>:</w:t>
            </w:r>
          </w:p>
          <w:p w14:paraId="014CE6DE" w14:textId="543823EC" w:rsidR="00AE4222" w:rsidRDefault="00CD15AE" w:rsidP="00DA1851">
            <w:pPr>
              <w:pStyle w:val="TableParagraph"/>
              <w:spacing w:before="1" w:line="276" w:lineRule="auto"/>
              <w:ind w:right="122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A program output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indikátora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(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teljesítménymutatója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): „11/b1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határon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átnyúló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kezdeményezésekbe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közvetlenül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bevont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intézmények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száma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”. A ROHU-297 projekt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összesen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6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intézmény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elérésével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a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projekten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belüli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együttműködés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megvalósításával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járult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hozzá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ehhez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az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 xml:space="preserve"> </w:t>
            </w:r>
            <w:proofErr w:type="spellStart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indikátorhoz</w:t>
            </w:r>
            <w:proofErr w:type="spellEnd"/>
            <w:r w:rsidRPr="00CD15AE"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  <w:t>.</w:t>
            </w:r>
          </w:p>
          <w:p w14:paraId="512EA0EC" w14:textId="77777777" w:rsidR="00CD15AE" w:rsidRPr="002F4AC8" w:rsidRDefault="00CD15AE" w:rsidP="00DA1851">
            <w:pPr>
              <w:pStyle w:val="TableParagraph"/>
              <w:spacing w:before="1" w:line="276" w:lineRule="auto"/>
              <w:ind w:right="122"/>
              <w:rPr>
                <w:rFonts w:ascii="Open Sans" w:hAnsi="Open Sans" w:cs="Open Sans"/>
                <w:color w:val="365F91" w:themeColor="accent1" w:themeShade="BF"/>
                <w:w w:val="105"/>
                <w:lang w:val="en-GB"/>
              </w:rPr>
            </w:pPr>
          </w:p>
          <w:p w14:paraId="2543CCFD" w14:textId="654AB348" w:rsidR="00AE4222" w:rsidRPr="002F4AC8" w:rsidRDefault="00CD15AE" w:rsidP="00DA1851">
            <w:pPr>
              <w:pStyle w:val="TableParagraph"/>
              <w:spacing w:before="1" w:line="276" w:lineRule="auto"/>
              <w:ind w:right="122"/>
              <w:rPr>
                <w:rFonts w:ascii="Open Sans" w:hAnsi="Open Sans" w:cs="Open Sans"/>
                <w:color w:val="365F91" w:themeColor="accent1" w:themeShade="BF"/>
                <w:lang w:val="en-GB"/>
              </w:rPr>
            </w:pPr>
            <w:r>
              <w:rPr>
                <w:rFonts w:ascii="Open Sans" w:hAnsi="Open Sans" w:cs="Open Sans"/>
                <w:color w:val="365F91" w:themeColor="accent1" w:themeShade="BF"/>
                <w:spacing w:val="-2"/>
                <w:lang w:val="en-GB"/>
              </w:rPr>
              <w:t>Weboldal</w:t>
            </w:r>
            <w:r w:rsidR="00AE4222" w:rsidRPr="002F4AC8">
              <w:rPr>
                <w:rFonts w:ascii="Open Sans" w:hAnsi="Open Sans" w:cs="Open Sans"/>
                <w:color w:val="365F91" w:themeColor="accent1" w:themeShade="BF"/>
                <w:spacing w:val="-2"/>
                <w:lang w:val="en-GB"/>
              </w:rPr>
              <w:t xml:space="preserve">: </w:t>
            </w:r>
            <w:hyperlink r:id="rId7">
              <w:r w:rsidR="00AE4222" w:rsidRPr="002F4AC8">
                <w:rPr>
                  <w:rFonts w:ascii="Open Sans" w:hAnsi="Open Sans" w:cs="Open Sans"/>
                  <w:color w:val="365F91" w:themeColor="accent1" w:themeShade="BF"/>
                  <w:spacing w:val="-4"/>
                  <w:lang w:val="en-GB"/>
                </w:rPr>
                <w:t>https://interreg.josamuzeum.hu/</w:t>
              </w:r>
            </w:hyperlink>
          </w:p>
        </w:tc>
      </w:tr>
    </w:tbl>
    <w:p w14:paraId="79732DBE" w14:textId="77777777" w:rsidR="00F77241" w:rsidRPr="002F4AC8" w:rsidRDefault="00F77241" w:rsidP="00DA1851">
      <w:pPr>
        <w:spacing w:line="276" w:lineRule="auto"/>
        <w:rPr>
          <w:rFonts w:ascii="Open Sans" w:hAnsi="Open Sans" w:cs="Open Sans"/>
          <w:color w:val="365F91" w:themeColor="accent1" w:themeShade="BF"/>
          <w:lang w:val="en-GB"/>
        </w:rPr>
      </w:pPr>
    </w:p>
    <w:sectPr w:rsidR="00F77241" w:rsidRPr="002F4AC8" w:rsidSect="002C7D0B">
      <w:headerReference w:type="default" r:id="rId8"/>
      <w:footerReference w:type="default" r:id="rId9"/>
      <w:pgSz w:w="11910" w:h="16840"/>
      <w:pgMar w:top="2140" w:right="708" w:bottom="1276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504A" w14:textId="77777777" w:rsidR="004A16D5" w:rsidRDefault="004A16D5">
      <w:r>
        <w:separator/>
      </w:r>
    </w:p>
  </w:endnote>
  <w:endnote w:type="continuationSeparator" w:id="0">
    <w:p w14:paraId="59E03E43" w14:textId="77777777" w:rsidR="004A16D5" w:rsidRDefault="004A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6DBB" w14:textId="77777777" w:rsidR="00FF5398" w:rsidRDefault="004A16D5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1874B6C" wp14:editId="5E65241B">
              <wp:simplePos x="0" y="0"/>
              <wp:positionH relativeFrom="page">
                <wp:posOffset>902004</wp:posOffset>
              </wp:positionH>
              <wp:positionV relativeFrom="page">
                <wp:posOffset>9710855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91AA4" w14:textId="77777777" w:rsidR="00FF5398" w:rsidRDefault="004A16D5">
                          <w:pPr>
                            <w:pStyle w:val="Szvegtrzs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74B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5pt;width:143.2pt;height:15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Gz5kDXhAAAA&#10;DQEAAA8AAAAAAAAAAAAAAAAA7gMAAGRycy9kb3ducmV2LnhtbFBLBQYAAAAABAAEAPMAAAD8BAAA&#10;AAA=&#10;" filled="f" stroked="f">
              <v:textbox inset="0,0,0,0">
                <w:txbxContent>
                  <w:p w14:paraId="6B091AA4" w14:textId="77777777" w:rsidR="00FF5398" w:rsidRDefault="004A16D5">
                    <w:pPr>
                      <w:pStyle w:val="Szvegtrzs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92710A6" wp14:editId="1AB69F47">
              <wp:simplePos x="0" y="0"/>
              <wp:positionH relativeFrom="page">
                <wp:posOffset>5325617</wp:posOffset>
              </wp:positionH>
              <wp:positionV relativeFrom="page">
                <wp:posOffset>9710855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A2F94" w14:textId="77777777" w:rsidR="00FF5398" w:rsidRDefault="00FF5398">
                          <w:pPr>
                            <w:pStyle w:val="Szvegtrzs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7D4017D4" w14:textId="77777777" w:rsidR="00FF5398" w:rsidRDefault="004A16D5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710A6" id="Textbox 5" o:spid="_x0000_s1027" type="#_x0000_t202" style="position:absolute;margin-left:419.35pt;margin-top:764.65pt;width:108.2pt;height:28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" filled="f" stroked="f">
              <v:textbox inset="0,0,0,0">
                <w:txbxContent>
                  <w:p w14:paraId="323A2F94" w14:textId="77777777" w:rsidR="00FF5398" w:rsidRDefault="00FF5398">
                    <w:pPr>
                      <w:pStyle w:val="Szvegtrzs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7D4017D4" w14:textId="77777777" w:rsidR="00FF5398" w:rsidRDefault="004A16D5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83F3" w14:textId="77777777" w:rsidR="004A16D5" w:rsidRDefault="004A16D5">
      <w:r>
        <w:separator/>
      </w:r>
    </w:p>
  </w:footnote>
  <w:footnote w:type="continuationSeparator" w:id="0">
    <w:p w14:paraId="63906007" w14:textId="77777777" w:rsidR="004A16D5" w:rsidRDefault="004A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E297" w14:textId="77777777" w:rsidR="00FF5398" w:rsidRDefault="004A16D5">
    <w:pPr>
      <w:pStyle w:val="Szvegtrzs"/>
      <w:spacing w:line="14" w:lineRule="auto"/>
    </w:pPr>
    <w:r>
      <w:rPr>
        <w:noProof/>
      </w:rPr>
      <w:drawing>
        <wp:anchor distT="0" distB="0" distL="0" distR="0" simplePos="0" relativeHeight="251652608" behindDoc="1" locked="0" layoutInCell="1" allowOverlap="1" wp14:anchorId="254BD9F8" wp14:editId="69F5D735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61078340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174DFD79" wp14:editId="2601D00B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173372706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2E96FB9B" wp14:editId="713F3954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127241655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B12"/>
    <w:multiLevelType w:val="hybridMultilevel"/>
    <w:tmpl w:val="D5B408A0"/>
    <w:lvl w:ilvl="0" w:tplc="57B641CC">
      <w:numFmt w:val="bullet"/>
      <w:lvlText w:val="•"/>
      <w:lvlJc w:val="left"/>
      <w:pPr>
        <w:ind w:left="681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2E5395"/>
        <w:spacing w:val="0"/>
        <w:w w:val="83"/>
        <w:sz w:val="22"/>
        <w:szCs w:val="22"/>
        <w:lang w:val="en-US" w:eastAsia="en-US" w:bidi="ar-SA"/>
      </w:rPr>
    </w:lvl>
    <w:lvl w:ilvl="1" w:tplc="9C3885CE">
      <w:numFmt w:val="bullet"/>
      <w:lvlText w:val="•"/>
      <w:lvlJc w:val="left"/>
      <w:pPr>
        <w:ind w:left="1358" w:hanging="142"/>
      </w:pPr>
      <w:rPr>
        <w:rFonts w:hint="default"/>
        <w:lang w:val="en-US" w:eastAsia="en-US" w:bidi="ar-SA"/>
      </w:rPr>
    </w:lvl>
    <w:lvl w:ilvl="2" w:tplc="9BFA6B2A">
      <w:numFmt w:val="bullet"/>
      <w:lvlText w:val="•"/>
      <w:lvlJc w:val="left"/>
      <w:pPr>
        <w:ind w:left="2037" w:hanging="142"/>
      </w:pPr>
      <w:rPr>
        <w:rFonts w:hint="default"/>
        <w:lang w:val="en-US" w:eastAsia="en-US" w:bidi="ar-SA"/>
      </w:rPr>
    </w:lvl>
    <w:lvl w:ilvl="3" w:tplc="CBD08A04">
      <w:numFmt w:val="bullet"/>
      <w:lvlText w:val="•"/>
      <w:lvlJc w:val="left"/>
      <w:pPr>
        <w:ind w:left="2716" w:hanging="142"/>
      </w:pPr>
      <w:rPr>
        <w:rFonts w:hint="default"/>
        <w:lang w:val="en-US" w:eastAsia="en-US" w:bidi="ar-SA"/>
      </w:rPr>
    </w:lvl>
    <w:lvl w:ilvl="4" w:tplc="23ACF1FE">
      <w:numFmt w:val="bullet"/>
      <w:lvlText w:val="•"/>
      <w:lvlJc w:val="left"/>
      <w:pPr>
        <w:ind w:left="3395" w:hanging="142"/>
      </w:pPr>
      <w:rPr>
        <w:rFonts w:hint="default"/>
        <w:lang w:val="en-US" w:eastAsia="en-US" w:bidi="ar-SA"/>
      </w:rPr>
    </w:lvl>
    <w:lvl w:ilvl="5" w:tplc="4288DD32">
      <w:numFmt w:val="bullet"/>
      <w:lvlText w:val="•"/>
      <w:lvlJc w:val="left"/>
      <w:pPr>
        <w:ind w:left="4074" w:hanging="142"/>
      </w:pPr>
      <w:rPr>
        <w:rFonts w:hint="default"/>
        <w:lang w:val="en-US" w:eastAsia="en-US" w:bidi="ar-SA"/>
      </w:rPr>
    </w:lvl>
    <w:lvl w:ilvl="6" w:tplc="7F9C0592">
      <w:numFmt w:val="bullet"/>
      <w:lvlText w:val="•"/>
      <w:lvlJc w:val="left"/>
      <w:pPr>
        <w:ind w:left="4752" w:hanging="142"/>
      </w:pPr>
      <w:rPr>
        <w:rFonts w:hint="default"/>
        <w:lang w:val="en-US" w:eastAsia="en-US" w:bidi="ar-SA"/>
      </w:rPr>
    </w:lvl>
    <w:lvl w:ilvl="7" w:tplc="23BE72D2">
      <w:numFmt w:val="bullet"/>
      <w:lvlText w:val="•"/>
      <w:lvlJc w:val="left"/>
      <w:pPr>
        <w:ind w:left="5431" w:hanging="142"/>
      </w:pPr>
      <w:rPr>
        <w:rFonts w:hint="default"/>
        <w:lang w:val="en-US" w:eastAsia="en-US" w:bidi="ar-SA"/>
      </w:rPr>
    </w:lvl>
    <w:lvl w:ilvl="8" w:tplc="585E7F68">
      <w:numFmt w:val="bullet"/>
      <w:lvlText w:val="•"/>
      <w:lvlJc w:val="left"/>
      <w:pPr>
        <w:ind w:left="6110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05EB39A7"/>
    <w:multiLevelType w:val="hybridMultilevel"/>
    <w:tmpl w:val="D5F6F5DE"/>
    <w:lvl w:ilvl="0" w:tplc="FF40D962">
      <w:numFmt w:val="bullet"/>
      <w:lvlText w:val="•"/>
      <w:lvlJc w:val="left"/>
      <w:pPr>
        <w:ind w:left="395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2E5395"/>
        <w:spacing w:val="0"/>
        <w:w w:val="83"/>
        <w:sz w:val="22"/>
        <w:szCs w:val="22"/>
        <w:lang w:val="en-US" w:eastAsia="en-US" w:bidi="ar-SA"/>
      </w:rPr>
    </w:lvl>
    <w:lvl w:ilvl="1" w:tplc="4492298E">
      <w:numFmt w:val="bullet"/>
      <w:lvlText w:val="•"/>
      <w:lvlJc w:val="left"/>
      <w:pPr>
        <w:ind w:left="1106" w:hanging="142"/>
      </w:pPr>
      <w:rPr>
        <w:rFonts w:hint="default"/>
        <w:lang w:val="en-US" w:eastAsia="en-US" w:bidi="ar-SA"/>
      </w:rPr>
    </w:lvl>
    <w:lvl w:ilvl="2" w:tplc="7D861BC8">
      <w:numFmt w:val="bullet"/>
      <w:lvlText w:val="•"/>
      <w:lvlJc w:val="left"/>
      <w:pPr>
        <w:ind w:left="1813" w:hanging="142"/>
      </w:pPr>
      <w:rPr>
        <w:rFonts w:hint="default"/>
        <w:lang w:val="en-US" w:eastAsia="en-US" w:bidi="ar-SA"/>
      </w:rPr>
    </w:lvl>
    <w:lvl w:ilvl="3" w:tplc="527A95B2">
      <w:numFmt w:val="bullet"/>
      <w:lvlText w:val="•"/>
      <w:lvlJc w:val="left"/>
      <w:pPr>
        <w:ind w:left="2520" w:hanging="142"/>
      </w:pPr>
      <w:rPr>
        <w:rFonts w:hint="default"/>
        <w:lang w:val="en-US" w:eastAsia="en-US" w:bidi="ar-SA"/>
      </w:rPr>
    </w:lvl>
    <w:lvl w:ilvl="4" w:tplc="7B28123A">
      <w:numFmt w:val="bullet"/>
      <w:lvlText w:val="•"/>
      <w:lvlJc w:val="left"/>
      <w:pPr>
        <w:ind w:left="3227" w:hanging="142"/>
      </w:pPr>
      <w:rPr>
        <w:rFonts w:hint="default"/>
        <w:lang w:val="en-US" w:eastAsia="en-US" w:bidi="ar-SA"/>
      </w:rPr>
    </w:lvl>
    <w:lvl w:ilvl="5" w:tplc="C02021AC">
      <w:numFmt w:val="bullet"/>
      <w:lvlText w:val="•"/>
      <w:lvlJc w:val="left"/>
      <w:pPr>
        <w:ind w:left="3934" w:hanging="142"/>
      </w:pPr>
      <w:rPr>
        <w:rFonts w:hint="default"/>
        <w:lang w:val="en-US" w:eastAsia="en-US" w:bidi="ar-SA"/>
      </w:rPr>
    </w:lvl>
    <w:lvl w:ilvl="6" w:tplc="19DED7B6">
      <w:numFmt w:val="bullet"/>
      <w:lvlText w:val="•"/>
      <w:lvlJc w:val="left"/>
      <w:pPr>
        <w:ind w:left="4640" w:hanging="142"/>
      </w:pPr>
      <w:rPr>
        <w:rFonts w:hint="default"/>
        <w:lang w:val="en-US" w:eastAsia="en-US" w:bidi="ar-SA"/>
      </w:rPr>
    </w:lvl>
    <w:lvl w:ilvl="7" w:tplc="21CACD14">
      <w:numFmt w:val="bullet"/>
      <w:lvlText w:val="•"/>
      <w:lvlJc w:val="left"/>
      <w:pPr>
        <w:ind w:left="5347" w:hanging="142"/>
      </w:pPr>
      <w:rPr>
        <w:rFonts w:hint="default"/>
        <w:lang w:val="en-US" w:eastAsia="en-US" w:bidi="ar-SA"/>
      </w:rPr>
    </w:lvl>
    <w:lvl w:ilvl="8" w:tplc="03366E74">
      <w:numFmt w:val="bullet"/>
      <w:lvlText w:val="•"/>
      <w:lvlJc w:val="left"/>
      <w:pPr>
        <w:ind w:left="6054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60F84A3E"/>
    <w:multiLevelType w:val="hybridMultilevel"/>
    <w:tmpl w:val="0CB60FD4"/>
    <w:lvl w:ilvl="0" w:tplc="851279D6">
      <w:numFmt w:val="bullet"/>
      <w:lvlText w:val="•"/>
      <w:lvlJc w:val="left"/>
      <w:pPr>
        <w:ind w:left="539" w:hanging="200"/>
      </w:pPr>
      <w:rPr>
        <w:rFonts w:ascii="Tahoma" w:eastAsia="Tahoma" w:hAnsi="Tahoma" w:cs="Tahoma" w:hint="default"/>
        <w:spacing w:val="0"/>
        <w:w w:val="83"/>
        <w:lang w:val="en-US" w:eastAsia="en-US" w:bidi="ar-SA"/>
      </w:rPr>
    </w:lvl>
    <w:lvl w:ilvl="1" w:tplc="721E6E78">
      <w:numFmt w:val="bullet"/>
      <w:lvlText w:val="•"/>
      <w:lvlJc w:val="left"/>
      <w:pPr>
        <w:ind w:left="1232" w:hanging="200"/>
      </w:pPr>
      <w:rPr>
        <w:rFonts w:hint="default"/>
        <w:lang w:val="en-US" w:eastAsia="en-US" w:bidi="ar-SA"/>
      </w:rPr>
    </w:lvl>
    <w:lvl w:ilvl="2" w:tplc="4F0E3DE0">
      <w:numFmt w:val="bullet"/>
      <w:lvlText w:val="•"/>
      <w:lvlJc w:val="left"/>
      <w:pPr>
        <w:ind w:left="1925" w:hanging="200"/>
      </w:pPr>
      <w:rPr>
        <w:rFonts w:hint="default"/>
        <w:lang w:val="en-US" w:eastAsia="en-US" w:bidi="ar-SA"/>
      </w:rPr>
    </w:lvl>
    <w:lvl w:ilvl="3" w:tplc="269ED162">
      <w:numFmt w:val="bullet"/>
      <w:lvlText w:val="•"/>
      <w:lvlJc w:val="left"/>
      <w:pPr>
        <w:ind w:left="2618" w:hanging="200"/>
      </w:pPr>
      <w:rPr>
        <w:rFonts w:hint="default"/>
        <w:lang w:val="en-US" w:eastAsia="en-US" w:bidi="ar-SA"/>
      </w:rPr>
    </w:lvl>
    <w:lvl w:ilvl="4" w:tplc="45A07076">
      <w:numFmt w:val="bullet"/>
      <w:lvlText w:val="•"/>
      <w:lvlJc w:val="left"/>
      <w:pPr>
        <w:ind w:left="3311" w:hanging="200"/>
      </w:pPr>
      <w:rPr>
        <w:rFonts w:hint="default"/>
        <w:lang w:val="en-US" w:eastAsia="en-US" w:bidi="ar-SA"/>
      </w:rPr>
    </w:lvl>
    <w:lvl w:ilvl="5" w:tplc="C7884112">
      <w:numFmt w:val="bullet"/>
      <w:lvlText w:val="•"/>
      <w:lvlJc w:val="left"/>
      <w:pPr>
        <w:ind w:left="4004" w:hanging="200"/>
      </w:pPr>
      <w:rPr>
        <w:rFonts w:hint="default"/>
        <w:lang w:val="en-US" w:eastAsia="en-US" w:bidi="ar-SA"/>
      </w:rPr>
    </w:lvl>
    <w:lvl w:ilvl="6" w:tplc="D98EAB20">
      <w:numFmt w:val="bullet"/>
      <w:lvlText w:val="•"/>
      <w:lvlJc w:val="left"/>
      <w:pPr>
        <w:ind w:left="4696" w:hanging="200"/>
      </w:pPr>
      <w:rPr>
        <w:rFonts w:hint="default"/>
        <w:lang w:val="en-US" w:eastAsia="en-US" w:bidi="ar-SA"/>
      </w:rPr>
    </w:lvl>
    <w:lvl w:ilvl="7" w:tplc="5704A41A">
      <w:numFmt w:val="bullet"/>
      <w:lvlText w:val="•"/>
      <w:lvlJc w:val="left"/>
      <w:pPr>
        <w:ind w:left="5389" w:hanging="200"/>
      </w:pPr>
      <w:rPr>
        <w:rFonts w:hint="default"/>
        <w:lang w:val="en-US" w:eastAsia="en-US" w:bidi="ar-SA"/>
      </w:rPr>
    </w:lvl>
    <w:lvl w:ilvl="8" w:tplc="F2CE7554">
      <w:numFmt w:val="bullet"/>
      <w:lvlText w:val="•"/>
      <w:lvlJc w:val="left"/>
      <w:pPr>
        <w:ind w:left="6082" w:hanging="200"/>
      </w:pPr>
      <w:rPr>
        <w:rFonts w:hint="default"/>
        <w:lang w:val="en-US" w:eastAsia="en-US" w:bidi="ar-SA"/>
      </w:rPr>
    </w:lvl>
  </w:abstractNum>
  <w:num w:numId="1" w16cid:durableId="1601793113">
    <w:abstractNumId w:val="2"/>
  </w:num>
  <w:num w:numId="2" w16cid:durableId="1489908043">
    <w:abstractNumId w:val="0"/>
  </w:num>
  <w:num w:numId="3" w16cid:durableId="119357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05FC6"/>
    <w:rsid w:val="00033E4A"/>
    <w:rsid w:val="00116BE6"/>
    <w:rsid w:val="00243AE9"/>
    <w:rsid w:val="002A6308"/>
    <w:rsid w:val="002C7D0B"/>
    <w:rsid w:val="002F4AC8"/>
    <w:rsid w:val="002F7DDB"/>
    <w:rsid w:val="003B61E9"/>
    <w:rsid w:val="004A16D5"/>
    <w:rsid w:val="005C0585"/>
    <w:rsid w:val="00653016"/>
    <w:rsid w:val="0086561A"/>
    <w:rsid w:val="00A04930"/>
    <w:rsid w:val="00AE4222"/>
    <w:rsid w:val="00CD15AE"/>
    <w:rsid w:val="00DA1851"/>
    <w:rsid w:val="00F77241"/>
    <w:rsid w:val="00FC77D4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AD7A"/>
  <w15:docId w15:val="{577AF045-AA61-499E-9572-B2D7C31D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reg.josamuzeum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dcterms:created xsi:type="dcterms:W3CDTF">2026-05-21T08:43:00Z</dcterms:created>
  <dcterms:modified xsi:type="dcterms:W3CDTF">2026-05-21T08:43:00Z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56b1fb21-df7c-4175-8e0d-b3d61ce709f0</vt:lpwstr>
  </property>
</Properties>
</file>