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BB6D3" w14:textId="77777777" w:rsidR="00314B10" w:rsidRDefault="00314B10">
      <w:pPr>
        <w:pStyle w:val="BodyText"/>
        <w:rPr>
          <w:rFonts w:ascii="Times New Roman"/>
          <w:sz w:val="4"/>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8008"/>
      </w:tblGrid>
      <w:tr w:rsidR="00314B10" w:rsidRPr="003846FF" w14:paraId="502BA169" w14:textId="77777777">
        <w:trPr>
          <w:trHeight w:val="544"/>
        </w:trPr>
        <w:tc>
          <w:tcPr>
            <w:tcW w:w="10701" w:type="dxa"/>
            <w:gridSpan w:val="2"/>
            <w:shd w:val="clear" w:color="auto" w:fill="003399"/>
          </w:tcPr>
          <w:p w14:paraId="45119FC8" w14:textId="77777777" w:rsidR="00314B10" w:rsidRPr="00564F07" w:rsidRDefault="00000000" w:rsidP="003846FF">
            <w:pPr>
              <w:pStyle w:val="TableParagraph"/>
              <w:spacing w:line="22" w:lineRule="atLeast"/>
              <w:ind w:left="107"/>
              <w:rPr>
                <w:rFonts w:ascii="Open Sans" w:hAnsi="Open Sans" w:cs="Open Sans"/>
                <w:b/>
                <w:bCs/>
              </w:rPr>
            </w:pPr>
            <w:r w:rsidRPr="00564F07">
              <w:rPr>
                <w:rFonts w:ascii="Open Sans" w:hAnsi="Open Sans" w:cs="Open Sans"/>
                <w:b/>
                <w:bCs/>
                <w:color w:val="FFFFFF"/>
              </w:rPr>
              <w:t>Primul Apel Deschis –Proiecte Normale</w:t>
            </w:r>
          </w:p>
        </w:tc>
      </w:tr>
      <w:tr w:rsidR="00314B10" w:rsidRPr="003846FF" w14:paraId="2BE52F52" w14:textId="77777777" w:rsidTr="003846FF">
        <w:trPr>
          <w:trHeight w:val="285"/>
        </w:trPr>
        <w:tc>
          <w:tcPr>
            <w:tcW w:w="2693" w:type="dxa"/>
            <w:shd w:val="clear" w:color="auto" w:fill="D4DCE3"/>
          </w:tcPr>
          <w:p w14:paraId="34DC063F" w14:textId="77777777" w:rsidR="00314B10" w:rsidRPr="00564F07" w:rsidRDefault="00000000" w:rsidP="003846FF">
            <w:pPr>
              <w:pStyle w:val="TableParagraph"/>
              <w:spacing w:line="22" w:lineRule="atLeast"/>
              <w:ind w:left="107"/>
              <w:rPr>
                <w:rFonts w:ascii="Open Sans" w:hAnsi="Open Sans" w:cs="Open Sans"/>
                <w:b/>
                <w:bCs/>
              </w:rPr>
            </w:pPr>
            <w:r w:rsidRPr="00564F07">
              <w:rPr>
                <w:rFonts w:ascii="Open Sans" w:hAnsi="Open Sans" w:cs="Open Sans"/>
                <w:b/>
                <w:bCs/>
                <w:color w:val="0E2A75"/>
              </w:rPr>
              <w:t>Cod proiect</w:t>
            </w:r>
          </w:p>
        </w:tc>
        <w:tc>
          <w:tcPr>
            <w:tcW w:w="8008" w:type="dxa"/>
          </w:tcPr>
          <w:p w14:paraId="77E87533" w14:textId="77777777" w:rsidR="00314B10" w:rsidRPr="00564F07" w:rsidRDefault="00000000" w:rsidP="003846FF">
            <w:pPr>
              <w:pStyle w:val="TableParagraph"/>
              <w:spacing w:line="22" w:lineRule="atLeast"/>
              <w:ind w:left="108"/>
              <w:rPr>
                <w:rFonts w:ascii="Open Sans" w:hAnsi="Open Sans" w:cs="Open Sans"/>
                <w:b/>
                <w:bCs/>
              </w:rPr>
            </w:pPr>
            <w:r w:rsidRPr="00564F07">
              <w:rPr>
                <w:rFonts w:ascii="Open Sans" w:hAnsi="Open Sans" w:cs="Open Sans"/>
                <w:b/>
                <w:bCs/>
                <w:color w:val="0E2A75"/>
              </w:rPr>
              <w:t>ROHU-84</w:t>
            </w:r>
          </w:p>
        </w:tc>
      </w:tr>
      <w:tr w:rsidR="00314B10" w:rsidRPr="003846FF" w14:paraId="14C8FE30" w14:textId="77777777" w:rsidTr="003846FF">
        <w:trPr>
          <w:trHeight w:val="1086"/>
        </w:trPr>
        <w:tc>
          <w:tcPr>
            <w:tcW w:w="2693" w:type="dxa"/>
            <w:shd w:val="clear" w:color="auto" w:fill="D4DCE3"/>
          </w:tcPr>
          <w:p w14:paraId="12553821" w14:textId="77777777" w:rsidR="00314B10" w:rsidRPr="00564F07" w:rsidRDefault="00314B10" w:rsidP="003846FF">
            <w:pPr>
              <w:pStyle w:val="TableParagraph"/>
              <w:spacing w:line="22" w:lineRule="atLeast"/>
              <w:rPr>
                <w:rFonts w:ascii="Open Sans" w:hAnsi="Open Sans" w:cs="Open Sans"/>
                <w:b/>
                <w:bCs/>
              </w:rPr>
            </w:pPr>
          </w:p>
          <w:p w14:paraId="6A570D92" w14:textId="77777777" w:rsidR="00314B10" w:rsidRPr="00564F07" w:rsidRDefault="00000000" w:rsidP="003846FF">
            <w:pPr>
              <w:pStyle w:val="TableParagraph"/>
              <w:spacing w:line="22" w:lineRule="atLeast"/>
              <w:ind w:left="107"/>
              <w:rPr>
                <w:rFonts w:ascii="Open Sans" w:hAnsi="Open Sans" w:cs="Open Sans"/>
                <w:b/>
                <w:bCs/>
              </w:rPr>
            </w:pPr>
            <w:r w:rsidRPr="00564F07">
              <w:rPr>
                <w:rFonts w:ascii="Open Sans" w:hAnsi="Open Sans" w:cs="Open Sans"/>
                <w:b/>
                <w:bCs/>
                <w:color w:val="0E2A75"/>
              </w:rPr>
              <w:t>Titlu proiect</w:t>
            </w:r>
          </w:p>
        </w:tc>
        <w:tc>
          <w:tcPr>
            <w:tcW w:w="8008" w:type="dxa"/>
          </w:tcPr>
          <w:p w14:paraId="28B09419" w14:textId="77777777" w:rsidR="00314B10" w:rsidRPr="00564F07" w:rsidRDefault="00000000" w:rsidP="003846FF">
            <w:pPr>
              <w:pStyle w:val="TableParagraph"/>
              <w:spacing w:line="22" w:lineRule="atLeast"/>
              <w:ind w:left="108"/>
              <w:rPr>
                <w:rFonts w:ascii="Open Sans" w:hAnsi="Open Sans" w:cs="Open Sans"/>
                <w:b/>
                <w:bCs/>
              </w:rPr>
            </w:pPr>
            <w:r w:rsidRPr="00564F07">
              <w:rPr>
                <w:rFonts w:ascii="Open Sans" w:hAnsi="Open Sans" w:cs="Open Sans"/>
                <w:b/>
                <w:bCs/>
                <w:color w:val="0E2A75"/>
              </w:rPr>
              <w:t>CROSSRISKS</w:t>
            </w:r>
          </w:p>
          <w:p w14:paraId="192E58CD" w14:textId="77777777" w:rsidR="00314B10" w:rsidRPr="003846FF" w:rsidRDefault="00000000" w:rsidP="003846FF">
            <w:pPr>
              <w:pStyle w:val="TableParagraph"/>
              <w:spacing w:line="22" w:lineRule="atLeast"/>
              <w:ind w:left="108"/>
              <w:rPr>
                <w:rFonts w:ascii="Open Sans" w:hAnsi="Open Sans" w:cs="Open Sans"/>
              </w:rPr>
            </w:pPr>
            <w:r w:rsidRPr="003846FF">
              <w:rPr>
                <w:rFonts w:ascii="Open Sans" w:hAnsi="Open Sans" w:cs="Open Sans"/>
                <w:color w:val="0E2A75"/>
              </w:rPr>
              <w:t>Abordare transfrontalieră integrată, în vederea îmbunătățirii cooperării și pregătirii comune privind prevenirea riscurilor și gestionarea dezastrelor la</w:t>
            </w:r>
          </w:p>
          <w:p w14:paraId="22118285" w14:textId="77777777" w:rsidR="00314B10" w:rsidRPr="003846FF" w:rsidRDefault="00000000" w:rsidP="003846FF">
            <w:pPr>
              <w:pStyle w:val="TableParagraph"/>
              <w:spacing w:line="22" w:lineRule="atLeast"/>
              <w:ind w:left="108"/>
              <w:rPr>
                <w:rFonts w:ascii="Open Sans" w:hAnsi="Open Sans" w:cs="Open Sans"/>
              </w:rPr>
            </w:pPr>
            <w:r w:rsidRPr="003846FF">
              <w:rPr>
                <w:rFonts w:ascii="Open Sans" w:hAnsi="Open Sans" w:cs="Open Sans"/>
                <w:color w:val="0E2A75"/>
              </w:rPr>
              <w:t>nivelul Euroregiunii Bihor Hajdú-Bihar</w:t>
            </w:r>
          </w:p>
        </w:tc>
      </w:tr>
      <w:tr w:rsidR="00314B10" w:rsidRPr="003846FF" w14:paraId="320092CC" w14:textId="77777777">
        <w:trPr>
          <w:trHeight w:val="688"/>
        </w:trPr>
        <w:tc>
          <w:tcPr>
            <w:tcW w:w="2693" w:type="dxa"/>
            <w:shd w:val="clear" w:color="auto" w:fill="D4DCE3"/>
          </w:tcPr>
          <w:p w14:paraId="7DCC310E" w14:textId="77777777" w:rsidR="00314B10" w:rsidRPr="00564F07" w:rsidRDefault="00000000" w:rsidP="003846FF">
            <w:pPr>
              <w:pStyle w:val="TableParagraph"/>
              <w:spacing w:line="22" w:lineRule="atLeast"/>
              <w:ind w:left="107"/>
              <w:rPr>
                <w:rFonts w:ascii="Open Sans" w:hAnsi="Open Sans" w:cs="Open Sans"/>
                <w:b/>
                <w:bCs/>
              </w:rPr>
            </w:pPr>
            <w:r w:rsidRPr="00564F07">
              <w:rPr>
                <w:rFonts w:ascii="Open Sans" w:hAnsi="Open Sans" w:cs="Open Sans"/>
                <w:b/>
                <w:bCs/>
                <w:color w:val="0E2A75"/>
              </w:rPr>
              <w:t>Axa prioritară</w:t>
            </w:r>
          </w:p>
        </w:tc>
        <w:tc>
          <w:tcPr>
            <w:tcW w:w="8008" w:type="dxa"/>
          </w:tcPr>
          <w:p w14:paraId="1D82DA14" w14:textId="77777777" w:rsidR="00314B10" w:rsidRPr="003846FF" w:rsidRDefault="00000000" w:rsidP="003846FF">
            <w:pPr>
              <w:pStyle w:val="TableParagraph"/>
              <w:spacing w:line="22" w:lineRule="atLeast"/>
              <w:ind w:left="108"/>
              <w:rPr>
                <w:rFonts w:ascii="Open Sans" w:hAnsi="Open Sans" w:cs="Open Sans"/>
              </w:rPr>
            </w:pPr>
            <w:r w:rsidRPr="003846FF">
              <w:rPr>
                <w:rFonts w:ascii="Open Sans" w:hAnsi="Open Sans" w:cs="Open Sans"/>
                <w:color w:val="0E2A75"/>
              </w:rPr>
              <w:t>5- Îmbunătățirea prevenirii riscurilor și gestionării dezastrelor (Cooperare în</w:t>
            </w:r>
          </w:p>
          <w:p w14:paraId="3FF4EBA3" w14:textId="77777777" w:rsidR="00314B10" w:rsidRPr="003846FF" w:rsidRDefault="00000000" w:rsidP="003846FF">
            <w:pPr>
              <w:pStyle w:val="TableParagraph"/>
              <w:spacing w:line="22" w:lineRule="atLeast"/>
              <w:ind w:left="108"/>
              <w:rPr>
                <w:rFonts w:ascii="Open Sans" w:hAnsi="Open Sans" w:cs="Open Sans"/>
              </w:rPr>
            </w:pPr>
            <w:r w:rsidRPr="003846FF">
              <w:rPr>
                <w:rFonts w:ascii="Open Sans" w:hAnsi="Open Sans" w:cs="Open Sans"/>
                <w:color w:val="0E2A75"/>
              </w:rPr>
              <w:t>domeniul prevenirii riscurilor și gestionării dezastrelor)</w:t>
            </w:r>
          </w:p>
        </w:tc>
      </w:tr>
      <w:tr w:rsidR="00314B10" w:rsidRPr="003846FF" w14:paraId="26F34C4C" w14:textId="77777777" w:rsidTr="003846FF">
        <w:trPr>
          <w:trHeight w:val="888"/>
        </w:trPr>
        <w:tc>
          <w:tcPr>
            <w:tcW w:w="2693" w:type="dxa"/>
            <w:shd w:val="clear" w:color="auto" w:fill="D4DCE3"/>
          </w:tcPr>
          <w:p w14:paraId="5B0C79FE" w14:textId="77777777" w:rsidR="00314B10" w:rsidRPr="00564F07" w:rsidRDefault="00000000" w:rsidP="003846FF">
            <w:pPr>
              <w:pStyle w:val="TableParagraph"/>
              <w:spacing w:line="22" w:lineRule="atLeast"/>
              <w:ind w:left="107" w:right="7"/>
              <w:rPr>
                <w:rFonts w:ascii="Open Sans" w:hAnsi="Open Sans" w:cs="Open Sans"/>
                <w:b/>
                <w:bCs/>
              </w:rPr>
            </w:pPr>
            <w:r w:rsidRPr="00564F07">
              <w:rPr>
                <w:rFonts w:ascii="Open Sans" w:hAnsi="Open Sans" w:cs="Open Sans"/>
                <w:b/>
                <w:bCs/>
                <w:color w:val="0E2A75"/>
              </w:rPr>
              <w:t>Prioritatea de investiție</w:t>
            </w:r>
          </w:p>
        </w:tc>
        <w:tc>
          <w:tcPr>
            <w:tcW w:w="8008" w:type="dxa"/>
          </w:tcPr>
          <w:p w14:paraId="08B0F5F8" w14:textId="77777777" w:rsidR="00314B10" w:rsidRPr="003846FF" w:rsidRDefault="00000000" w:rsidP="003846FF">
            <w:pPr>
              <w:pStyle w:val="TableParagraph"/>
              <w:spacing w:line="22" w:lineRule="atLeast"/>
              <w:ind w:left="108"/>
              <w:rPr>
                <w:rFonts w:ascii="Open Sans" w:hAnsi="Open Sans" w:cs="Open Sans"/>
              </w:rPr>
            </w:pPr>
            <w:r w:rsidRPr="003846FF">
              <w:rPr>
                <w:rFonts w:ascii="Open Sans" w:hAnsi="Open Sans" w:cs="Open Sans"/>
                <w:color w:val="0E2A75"/>
              </w:rPr>
              <w:t>5/b- Promovarea investițiilor pentru abordarea riscurilor specifice,</w:t>
            </w:r>
          </w:p>
          <w:p w14:paraId="07D8E5C4" w14:textId="77777777" w:rsidR="00314B10" w:rsidRPr="003846FF" w:rsidRDefault="00000000" w:rsidP="003846FF">
            <w:pPr>
              <w:pStyle w:val="TableParagraph"/>
              <w:spacing w:line="22" w:lineRule="atLeast"/>
              <w:ind w:left="108"/>
              <w:rPr>
                <w:rFonts w:ascii="Open Sans" w:hAnsi="Open Sans" w:cs="Open Sans"/>
              </w:rPr>
            </w:pPr>
            <w:r w:rsidRPr="003846FF">
              <w:rPr>
                <w:rFonts w:ascii="Open Sans" w:hAnsi="Open Sans" w:cs="Open Sans"/>
                <w:color w:val="0E2A75"/>
              </w:rPr>
              <w:t>asigurarea intervenției în cazul dezastrelor și dezvoltarea unui sistem de gestionare a dezastrelor</w:t>
            </w:r>
          </w:p>
        </w:tc>
      </w:tr>
      <w:tr w:rsidR="00314B10" w:rsidRPr="003846FF" w14:paraId="642A5143" w14:textId="77777777" w:rsidTr="003846FF">
        <w:trPr>
          <w:trHeight w:val="564"/>
        </w:trPr>
        <w:tc>
          <w:tcPr>
            <w:tcW w:w="2693" w:type="dxa"/>
            <w:shd w:val="clear" w:color="auto" w:fill="D4DCE3"/>
          </w:tcPr>
          <w:p w14:paraId="5EC2CD02" w14:textId="77777777" w:rsidR="00314B10" w:rsidRPr="00564F07" w:rsidRDefault="00000000" w:rsidP="003846FF">
            <w:pPr>
              <w:pStyle w:val="TableParagraph"/>
              <w:spacing w:line="22" w:lineRule="atLeast"/>
              <w:ind w:left="107"/>
              <w:rPr>
                <w:rFonts w:ascii="Open Sans" w:hAnsi="Open Sans" w:cs="Open Sans"/>
                <w:b/>
                <w:bCs/>
              </w:rPr>
            </w:pPr>
            <w:r w:rsidRPr="00564F07">
              <w:rPr>
                <w:rFonts w:ascii="Open Sans" w:hAnsi="Open Sans" w:cs="Open Sans"/>
                <w:b/>
                <w:bCs/>
                <w:color w:val="0E2A75"/>
              </w:rPr>
              <w:t>Perioada de</w:t>
            </w:r>
          </w:p>
          <w:p w14:paraId="723FB7EA" w14:textId="77777777" w:rsidR="00314B10" w:rsidRPr="00564F07" w:rsidRDefault="00000000" w:rsidP="003846FF">
            <w:pPr>
              <w:pStyle w:val="TableParagraph"/>
              <w:spacing w:line="22" w:lineRule="atLeast"/>
              <w:ind w:left="107"/>
              <w:rPr>
                <w:rFonts w:ascii="Open Sans" w:hAnsi="Open Sans" w:cs="Open Sans"/>
                <w:b/>
                <w:bCs/>
              </w:rPr>
            </w:pPr>
            <w:r w:rsidRPr="00564F07">
              <w:rPr>
                <w:rFonts w:ascii="Open Sans" w:hAnsi="Open Sans" w:cs="Open Sans"/>
                <w:b/>
                <w:bCs/>
                <w:color w:val="0E2A75"/>
              </w:rPr>
              <w:t>implementare</w:t>
            </w:r>
          </w:p>
        </w:tc>
        <w:tc>
          <w:tcPr>
            <w:tcW w:w="8008" w:type="dxa"/>
          </w:tcPr>
          <w:p w14:paraId="117F8552" w14:textId="77777777" w:rsidR="00314B10" w:rsidRPr="003846FF" w:rsidRDefault="00000000" w:rsidP="003846FF">
            <w:pPr>
              <w:pStyle w:val="TableParagraph"/>
              <w:spacing w:line="22" w:lineRule="atLeast"/>
              <w:ind w:left="108"/>
              <w:rPr>
                <w:rFonts w:ascii="Open Sans" w:hAnsi="Open Sans" w:cs="Open Sans"/>
              </w:rPr>
            </w:pPr>
            <w:r w:rsidRPr="003846FF">
              <w:rPr>
                <w:rFonts w:ascii="Open Sans" w:hAnsi="Open Sans" w:cs="Open Sans"/>
                <w:color w:val="0E2A75"/>
              </w:rPr>
              <w:t>36 luni (01 Aprilie 2018 - 31 Martie 2021)</w:t>
            </w:r>
          </w:p>
        </w:tc>
      </w:tr>
      <w:tr w:rsidR="00314B10" w:rsidRPr="003846FF" w14:paraId="7032CE36" w14:textId="77777777" w:rsidTr="003846FF">
        <w:trPr>
          <w:trHeight w:val="942"/>
        </w:trPr>
        <w:tc>
          <w:tcPr>
            <w:tcW w:w="2693" w:type="dxa"/>
            <w:shd w:val="clear" w:color="auto" w:fill="D4DCE3"/>
          </w:tcPr>
          <w:p w14:paraId="467C5334" w14:textId="77777777" w:rsidR="00314B10" w:rsidRPr="00564F07" w:rsidRDefault="00314B10" w:rsidP="003846FF">
            <w:pPr>
              <w:pStyle w:val="TableParagraph"/>
              <w:spacing w:line="22" w:lineRule="atLeast"/>
              <w:rPr>
                <w:rFonts w:ascii="Open Sans" w:hAnsi="Open Sans" w:cs="Open Sans"/>
                <w:b/>
                <w:bCs/>
              </w:rPr>
            </w:pPr>
          </w:p>
          <w:p w14:paraId="2A90BFE5" w14:textId="77777777" w:rsidR="00314B10" w:rsidRPr="00564F07" w:rsidRDefault="00000000" w:rsidP="003846FF">
            <w:pPr>
              <w:pStyle w:val="TableParagraph"/>
              <w:spacing w:line="22" w:lineRule="atLeast"/>
              <w:ind w:left="107"/>
              <w:rPr>
                <w:rFonts w:ascii="Open Sans" w:hAnsi="Open Sans" w:cs="Open Sans"/>
                <w:b/>
                <w:bCs/>
              </w:rPr>
            </w:pPr>
            <w:r w:rsidRPr="00564F07">
              <w:rPr>
                <w:rFonts w:ascii="Open Sans" w:hAnsi="Open Sans" w:cs="Open Sans"/>
                <w:b/>
                <w:bCs/>
                <w:color w:val="0E2A75"/>
              </w:rPr>
              <w:t>Obiectiv</w:t>
            </w:r>
          </w:p>
        </w:tc>
        <w:tc>
          <w:tcPr>
            <w:tcW w:w="8008" w:type="dxa"/>
          </w:tcPr>
          <w:p w14:paraId="0E1E6B0B" w14:textId="77777777" w:rsidR="00314B10" w:rsidRPr="003846FF" w:rsidRDefault="00000000" w:rsidP="003846FF">
            <w:pPr>
              <w:pStyle w:val="TableParagraph"/>
              <w:spacing w:line="22" w:lineRule="atLeast"/>
              <w:ind w:left="108"/>
              <w:rPr>
                <w:rFonts w:ascii="Open Sans" w:hAnsi="Open Sans" w:cs="Open Sans"/>
              </w:rPr>
            </w:pPr>
            <w:r w:rsidRPr="003846FF">
              <w:rPr>
                <w:rFonts w:ascii="Open Sans" w:hAnsi="Open Sans" w:cs="Open Sans"/>
                <w:color w:val="0E2A75"/>
              </w:rPr>
              <w:t>Proiectul si-a propus ca obiectiv principal îmbunătățirea capacității de</w:t>
            </w:r>
          </w:p>
          <w:p w14:paraId="3FFD36F9" w14:textId="77777777" w:rsidR="00314B10" w:rsidRPr="003846FF" w:rsidRDefault="00000000" w:rsidP="003846FF">
            <w:pPr>
              <w:pStyle w:val="TableParagraph"/>
              <w:spacing w:line="22" w:lineRule="atLeast"/>
              <w:ind w:left="108" w:right="204"/>
              <w:rPr>
                <w:rFonts w:ascii="Open Sans" w:hAnsi="Open Sans" w:cs="Open Sans"/>
              </w:rPr>
            </w:pPr>
            <w:r w:rsidRPr="003846FF">
              <w:rPr>
                <w:rFonts w:ascii="Open Sans" w:hAnsi="Open Sans" w:cs="Open Sans"/>
                <w:color w:val="0E2A75"/>
              </w:rPr>
              <w:t>prevenire a riscurilor transfrontaliere precum și a capacității de gestionare a dezastrelor la nivelul Euroregiunii Bihor Hajdú-Bihar.</w:t>
            </w:r>
          </w:p>
        </w:tc>
      </w:tr>
      <w:tr w:rsidR="00314B10" w:rsidRPr="003846FF" w14:paraId="51FA292D" w14:textId="77777777" w:rsidTr="003846FF">
        <w:trPr>
          <w:trHeight w:val="618"/>
        </w:trPr>
        <w:tc>
          <w:tcPr>
            <w:tcW w:w="2693" w:type="dxa"/>
            <w:vMerge w:val="restart"/>
            <w:shd w:val="clear" w:color="auto" w:fill="D4DCE3"/>
          </w:tcPr>
          <w:p w14:paraId="681DF310" w14:textId="77777777" w:rsidR="00314B10" w:rsidRPr="00564F07" w:rsidRDefault="00314B10" w:rsidP="003846FF">
            <w:pPr>
              <w:pStyle w:val="TableParagraph"/>
              <w:spacing w:line="22" w:lineRule="atLeast"/>
              <w:rPr>
                <w:rFonts w:ascii="Open Sans" w:hAnsi="Open Sans" w:cs="Open Sans"/>
                <w:b/>
                <w:bCs/>
              </w:rPr>
            </w:pPr>
          </w:p>
          <w:p w14:paraId="600299FB" w14:textId="77777777" w:rsidR="00314B10" w:rsidRPr="00564F07" w:rsidRDefault="00314B10" w:rsidP="003846FF">
            <w:pPr>
              <w:pStyle w:val="TableParagraph"/>
              <w:spacing w:line="22" w:lineRule="atLeast"/>
              <w:rPr>
                <w:rFonts w:ascii="Open Sans" w:hAnsi="Open Sans" w:cs="Open Sans"/>
                <w:b/>
                <w:bCs/>
              </w:rPr>
            </w:pPr>
          </w:p>
          <w:p w14:paraId="5EDA24F9" w14:textId="77777777" w:rsidR="00314B10" w:rsidRPr="00564F07" w:rsidRDefault="00000000" w:rsidP="003846FF">
            <w:pPr>
              <w:pStyle w:val="TableParagraph"/>
              <w:spacing w:line="22" w:lineRule="atLeast"/>
              <w:ind w:left="107"/>
              <w:rPr>
                <w:rFonts w:ascii="Open Sans" w:hAnsi="Open Sans" w:cs="Open Sans"/>
                <w:b/>
                <w:bCs/>
              </w:rPr>
            </w:pPr>
            <w:r w:rsidRPr="00564F07">
              <w:rPr>
                <w:rFonts w:ascii="Open Sans" w:hAnsi="Open Sans" w:cs="Open Sans"/>
                <w:b/>
                <w:bCs/>
                <w:color w:val="0E2A75"/>
              </w:rPr>
              <w:t>Parteneriat</w:t>
            </w:r>
          </w:p>
        </w:tc>
        <w:tc>
          <w:tcPr>
            <w:tcW w:w="8008" w:type="dxa"/>
          </w:tcPr>
          <w:p w14:paraId="71C948C9" w14:textId="77777777" w:rsidR="00314B10" w:rsidRPr="003846FF" w:rsidRDefault="00000000" w:rsidP="003846FF">
            <w:pPr>
              <w:pStyle w:val="TableParagraph"/>
              <w:spacing w:line="22" w:lineRule="atLeast"/>
              <w:ind w:left="108" w:right="1049"/>
              <w:rPr>
                <w:rFonts w:ascii="Open Sans" w:hAnsi="Open Sans" w:cs="Open Sans"/>
              </w:rPr>
            </w:pPr>
            <w:r w:rsidRPr="003846FF">
              <w:rPr>
                <w:rFonts w:ascii="Open Sans" w:hAnsi="Open Sans" w:cs="Open Sans"/>
                <w:color w:val="0E2A75"/>
              </w:rPr>
              <w:t>Beneficiar Principal: Asociația Serviciul Pentru Asistență în Situații Speciale- SARTISS (România)</w:t>
            </w:r>
          </w:p>
        </w:tc>
      </w:tr>
      <w:tr w:rsidR="00314B10" w:rsidRPr="003846FF" w14:paraId="4097A8BF" w14:textId="77777777" w:rsidTr="003846FF">
        <w:trPr>
          <w:trHeight w:val="627"/>
        </w:trPr>
        <w:tc>
          <w:tcPr>
            <w:tcW w:w="2693" w:type="dxa"/>
            <w:vMerge/>
            <w:tcBorders>
              <w:top w:val="nil"/>
            </w:tcBorders>
            <w:shd w:val="clear" w:color="auto" w:fill="D4DCE3"/>
          </w:tcPr>
          <w:p w14:paraId="050A7B64" w14:textId="77777777" w:rsidR="00314B10" w:rsidRPr="00564F07" w:rsidRDefault="00314B10" w:rsidP="003846FF">
            <w:pPr>
              <w:spacing w:line="22" w:lineRule="atLeast"/>
              <w:rPr>
                <w:rFonts w:ascii="Open Sans" w:hAnsi="Open Sans" w:cs="Open Sans"/>
                <w:b/>
                <w:bCs/>
              </w:rPr>
            </w:pPr>
          </w:p>
        </w:tc>
        <w:tc>
          <w:tcPr>
            <w:tcW w:w="8008" w:type="dxa"/>
          </w:tcPr>
          <w:p w14:paraId="7E2C6F36" w14:textId="77777777" w:rsidR="00314B10" w:rsidRPr="003846FF" w:rsidRDefault="00000000" w:rsidP="003846FF">
            <w:pPr>
              <w:pStyle w:val="TableParagraph"/>
              <w:spacing w:line="22" w:lineRule="atLeast"/>
              <w:ind w:left="108"/>
              <w:rPr>
                <w:rFonts w:ascii="Open Sans" w:hAnsi="Open Sans" w:cs="Open Sans"/>
              </w:rPr>
            </w:pPr>
            <w:r w:rsidRPr="003846FF">
              <w:rPr>
                <w:rFonts w:ascii="Open Sans" w:hAnsi="Open Sans" w:cs="Open Sans"/>
                <w:color w:val="0E2A75"/>
              </w:rPr>
              <w:t>Partener de proiect:</w:t>
            </w:r>
          </w:p>
          <w:p w14:paraId="09B35A30" w14:textId="77777777" w:rsidR="00314B10" w:rsidRPr="003846FF" w:rsidRDefault="00000000" w:rsidP="003846FF">
            <w:pPr>
              <w:pStyle w:val="TableParagraph"/>
              <w:spacing w:line="22" w:lineRule="atLeast"/>
              <w:ind w:left="108"/>
              <w:rPr>
                <w:rFonts w:ascii="Open Sans" w:hAnsi="Open Sans" w:cs="Open Sans"/>
              </w:rPr>
            </w:pPr>
            <w:r w:rsidRPr="003846FF">
              <w:rPr>
                <w:rFonts w:ascii="Open Sans" w:hAnsi="Open Sans" w:cs="Open Sans"/>
                <w:color w:val="0E2A75"/>
              </w:rPr>
              <w:t>PP2: Direcția de Gestionare a Dezastrelor din județul Hajdú-Bihar (Ungaria)</w:t>
            </w:r>
          </w:p>
        </w:tc>
      </w:tr>
      <w:tr w:rsidR="00314B10" w:rsidRPr="003846FF" w14:paraId="721E69BA" w14:textId="77777777" w:rsidTr="003846FF">
        <w:trPr>
          <w:trHeight w:val="888"/>
        </w:trPr>
        <w:tc>
          <w:tcPr>
            <w:tcW w:w="2693" w:type="dxa"/>
            <w:shd w:val="clear" w:color="auto" w:fill="D4DCE3"/>
          </w:tcPr>
          <w:p w14:paraId="153181E7" w14:textId="77777777" w:rsidR="00314B10" w:rsidRPr="00564F07" w:rsidRDefault="00314B10" w:rsidP="003846FF">
            <w:pPr>
              <w:pStyle w:val="TableParagraph"/>
              <w:spacing w:line="22" w:lineRule="atLeast"/>
              <w:rPr>
                <w:rFonts w:ascii="Open Sans" w:hAnsi="Open Sans" w:cs="Open Sans"/>
                <w:b/>
                <w:bCs/>
              </w:rPr>
            </w:pPr>
          </w:p>
          <w:p w14:paraId="27513E94" w14:textId="77777777" w:rsidR="00314B10" w:rsidRPr="00564F07" w:rsidRDefault="00000000" w:rsidP="003846FF">
            <w:pPr>
              <w:pStyle w:val="TableParagraph"/>
              <w:spacing w:line="22" w:lineRule="atLeast"/>
              <w:ind w:left="107"/>
              <w:rPr>
                <w:rFonts w:ascii="Open Sans" w:hAnsi="Open Sans" w:cs="Open Sans"/>
                <w:b/>
                <w:bCs/>
              </w:rPr>
            </w:pPr>
            <w:r w:rsidRPr="00564F07">
              <w:rPr>
                <w:rFonts w:ascii="Open Sans" w:hAnsi="Open Sans" w:cs="Open Sans"/>
                <w:b/>
                <w:bCs/>
                <w:color w:val="0E2A75"/>
              </w:rPr>
              <w:t>Buget TOTAL</w:t>
            </w:r>
          </w:p>
        </w:tc>
        <w:tc>
          <w:tcPr>
            <w:tcW w:w="8008" w:type="dxa"/>
          </w:tcPr>
          <w:p w14:paraId="72DA8E6D" w14:textId="77777777" w:rsidR="00314B10" w:rsidRPr="003846FF" w:rsidRDefault="00000000" w:rsidP="003846FF">
            <w:pPr>
              <w:pStyle w:val="TableParagraph"/>
              <w:spacing w:line="22" w:lineRule="atLeast"/>
              <w:ind w:left="108"/>
              <w:rPr>
                <w:rFonts w:ascii="Open Sans" w:hAnsi="Open Sans" w:cs="Open Sans"/>
              </w:rPr>
            </w:pPr>
            <w:r w:rsidRPr="003846FF">
              <w:rPr>
                <w:rFonts w:ascii="Open Sans" w:hAnsi="Open Sans" w:cs="Open Sans"/>
                <w:color w:val="0E2A75"/>
              </w:rPr>
              <w:t>1.207.339,00 Euro, din care FEDR 1.026.238,15 Euro</w:t>
            </w:r>
          </w:p>
          <w:p w14:paraId="4596E38F" w14:textId="77777777" w:rsidR="00314B10" w:rsidRPr="003846FF" w:rsidRDefault="00000000" w:rsidP="003846FF">
            <w:pPr>
              <w:pStyle w:val="TableParagraph"/>
              <w:spacing w:line="22" w:lineRule="atLeast"/>
              <w:ind w:left="108"/>
              <w:rPr>
                <w:rFonts w:ascii="Open Sans" w:hAnsi="Open Sans" w:cs="Open Sans"/>
              </w:rPr>
            </w:pPr>
            <w:r w:rsidRPr="003846FF">
              <w:rPr>
                <w:rFonts w:ascii="Open Sans" w:hAnsi="Open Sans" w:cs="Open Sans"/>
                <w:color w:val="0E2A75"/>
              </w:rPr>
              <w:t>Totalul cheltuielilor eligibile decontate prin proiect: € 1.182.914,36</w:t>
            </w:r>
          </w:p>
          <w:p w14:paraId="48A4B772" w14:textId="77777777" w:rsidR="00314B10" w:rsidRPr="003846FF" w:rsidRDefault="00000000" w:rsidP="003846FF">
            <w:pPr>
              <w:pStyle w:val="TableParagraph"/>
              <w:spacing w:line="22" w:lineRule="atLeast"/>
              <w:ind w:left="165"/>
              <w:rPr>
                <w:rFonts w:ascii="Open Sans" w:hAnsi="Open Sans" w:cs="Open Sans"/>
                <w:b/>
                <w:i/>
              </w:rPr>
            </w:pPr>
            <w:r w:rsidRPr="003846FF">
              <w:rPr>
                <w:rFonts w:ascii="Open Sans" w:hAnsi="Open Sans" w:cs="Open Sans"/>
                <w:b/>
                <w:i/>
                <w:color w:val="0E2A75"/>
              </w:rPr>
              <w:t>Execuția bugetară: 97,98%</w:t>
            </w:r>
          </w:p>
        </w:tc>
      </w:tr>
      <w:tr w:rsidR="00314B10" w:rsidRPr="003846FF" w14:paraId="35346920" w14:textId="77777777">
        <w:trPr>
          <w:trHeight w:val="3756"/>
        </w:trPr>
        <w:tc>
          <w:tcPr>
            <w:tcW w:w="2693" w:type="dxa"/>
            <w:shd w:val="clear" w:color="auto" w:fill="D4DCE3"/>
          </w:tcPr>
          <w:p w14:paraId="13CAF232" w14:textId="77777777" w:rsidR="00314B10" w:rsidRPr="003846FF" w:rsidRDefault="00314B10" w:rsidP="003846FF">
            <w:pPr>
              <w:pStyle w:val="TableParagraph"/>
              <w:spacing w:line="22" w:lineRule="atLeast"/>
              <w:rPr>
                <w:rFonts w:ascii="Open Sans" w:hAnsi="Open Sans" w:cs="Open Sans"/>
              </w:rPr>
            </w:pPr>
          </w:p>
          <w:p w14:paraId="6BBA11BF" w14:textId="77777777" w:rsidR="00314B10" w:rsidRPr="003846FF" w:rsidRDefault="00314B10" w:rsidP="003846FF">
            <w:pPr>
              <w:pStyle w:val="TableParagraph"/>
              <w:spacing w:line="22" w:lineRule="atLeast"/>
              <w:rPr>
                <w:rFonts w:ascii="Open Sans" w:hAnsi="Open Sans" w:cs="Open Sans"/>
              </w:rPr>
            </w:pPr>
          </w:p>
          <w:p w14:paraId="5C47C552" w14:textId="77777777" w:rsidR="00314B10" w:rsidRPr="003846FF" w:rsidRDefault="00314B10" w:rsidP="003846FF">
            <w:pPr>
              <w:pStyle w:val="TableParagraph"/>
              <w:spacing w:line="22" w:lineRule="atLeast"/>
              <w:rPr>
                <w:rFonts w:ascii="Open Sans" w:hAnsi="Open Sans" w:cs="Open Sans"/>
              </w:rPr>
            </w:pPr>
          </w:p>
          <w:p w14:paraId="4869BB39" w14:textId="77777777" w:rsidR="00314B10" w:rsidRPr="003846FF" w:rsidRDefault="00314B10" w:rsidP="003846FF">
            <w:pPr>
              <w:pStyle w:val="TableParagraph"/>
              <w:spacing w:line="22" w:lineRule="atLeast"/>
              <w:rPr>
                <w:rFonts w:ascii="Open Sans" w:hAnsi="Open Sans" w:cs="Open Sans"/>
              </w:rPr>
            </w:pPr>
          </w:p>
          <w:p w14:paraId="1B404AC8" w14:textId="77777777" w:rsidR="00314B10" w:rsidRPr="003846FF" w:rsidRDefault="00314B10" w:rsidP="003846FF">
            <w:pPr>
              <w:pStyle w:val="TableParagraph"/>
              <w:spacing w:line="22" w:lineRule="atLeast"/>
              <w:rPr>
                <w:rFonts w:ascii="Open Sans" w:hAnsi="Open Sans" w:cs="Open Sans"/>
              </w:rPr>
            </w:pPr>
          </w:p>
          <w:p w14:paraId="0C81A2AA" w14:textId="77777777" w:rsidR="00314B10" w:rsidRPr="003846FF" w:rsidRDefault="00314B10" w:rsidP="003846FF">
            <w:pPr>
              <w:pStyle w:val="TableParagraph"/>
              <w:spacing w:line="22" w:lineRule="atLeast"/>
              <w:rPr>
                <w:rFonts w:ascii="Open Sans" w:hAnsi="Open Sans" w:cs="Open Sans"/>
              </w:rPr>
            </w:pPr>
          </w:p>
          <w:p w14:paraId="644A1C96" w14:textId="77777777" w:rsidR="00314B10" w:rsidRPr="003846FF" w:rsidRDefault="00000000" w:rsidP="003846FF">
            <w:pPr>
              <w:pStyle w:val="TableParagraph"/>
              <w:spacing w:line="22" w:lineRule="atLeast"/>
              <w:ind w:left="107"/>
              <w:rPr>
                <w:rFonts w:ascii="Open Sans" w:hAnsi="Open Sans" w:cs="Open Sans"/>
                <w:b/>
                <w:bCs/>
              </w:rPr>
            </w:pPr>
            <w:r w:rsidRPr="003846FF">
              <w:rPr>
                <w:rFonts w:ascii="Open Sans" w:hAnsi="Open Sans" w:cs="Open Sans"/>
                <w:b/>
                <w:bCs/>
                <w:color w:val="0E2A75"/>
              </w:rPr>
              <w:t>Sumar</w:t>
            </w:r>
          </w:p>
        </w:tc>
        <w:tc>
          <w:tcPr>
            <w:tcW w:w="8008" w:type="dxa"/>
          </w:tcPr>
          <w:p w14:paraId="0A37959D" w14:textId="77777777" w:rsidR="00314B10" w:rsidRPr="003846FF" w:rsidRDefault="00000000" w:rsidP="003846FF">
            <w:pPr>
              <w:pStyle w:val="TableParagraph"/>
              <w:spacing w:line="22" w:lineRule="atLeast"/>
              <w:ind w:left="108" w:right="94"/>
              <w:jc w:val="both"/>
              <w:rPr>
                <w:rFonts w:ascii="Open Sans" w:hAnsi="Open Sans" w:cs="Open Sans"/>
              </w:rPr>
            </w:pPr>
            <w:r w:rsidRPr="003846FF">
              <w:rPr>
                <w:rFonts w:ascii="Open Sans" w:hAnsi="Open Sans" w:cs="Open Sans"/>
                <w:color w:val="0E2A75"/>
              </w:rPr>
              <w:t>Proiectul ROHU-84 a avut ca scop îmbunătățirea capacității transfrontaliere de răspuns la dezastre, prin dezvoltarea unei strategii comune de management al riscurilor, creșterea calității intervențiilor transfrontaliere în situații de risc, îmbunătățirea abilităților personalului de intervenție (profesioniști și voluntari), astfel încât să poată aborda diferite tipuri de urgențe și să poată stabili operațiuni comune suplimentare în caz de dezastre.</w:t>
            </w:r>
          </w:p>
          <w:p w14:paraId="13AF8990" w14:textId="77777777" w:rsidR="00314B10" w:rsidRPr="003846FF" w:rsidRDefault="00000000" w:rsidP="003846FF">
            <w:pPr>
              <w:pStyle w:val="TableParagraph"/>
              <w:spacing w:line="22" w:lineRule="atLeast"/>
              <w:ind w:left="108"/>
              <w:rPr>
                <w:rFonts w:ascii="Open Sans" w:hAnsi="Open Sans" w:cs="Open Sans"/>
                <w:b/>
                <w:bCs/>
              </w:rPr>
            </w:pPr>
            <w:r w:rsidRPr="003846FF">
              <w:rPr>
                <w:rFonts w:ascii="Open Sans" w:hAnsi="Open Sans" w:cs="Open Sans"/>
                <w:b/>
                <w:bCs/>
                <w:color w:val="0E2A75"/>
              </w:rPr>
              <w:t>Activitățile principale implementate în cadrul proiectului:</w:t>
            </w:r>
          </w:p>
          <w:p w14:paraId="503D1ED8" w14:textId="77777777" w:rsidR="00314B10" w:rsidRPr="003846FF" w:rsidRDefault="00000000" w:rsidP="003846FF">
            <w:pPr>
              <w:pStyle w:val="TableParagraph"/>
              <w:numPr>
                <w:ilvl w:val="0"/>
                <w:numId w:val="3"/>
              </w:numPr>
              <w:tabs>
                <w:tab w:val="left" w:pos="828"/>
              </w:tabs>
              <w:spacing w:line="22" w:lineRule="atLeast"/>
              <w:ind w:right="625"/>
              <w:rPr>
                <w:rFonts w:ascii="Open Sans" w:hAnsi="Open Sans" w:cs="Open Sans"/>
              </w:rPr>
            </w:pPr>
            <w:r w:rsidRPr="003846FF">
              <w:rPr>
                <w:rFonts w:ascii="Open Sans" w:hAnsi="Open Sans" w:cs="Open Sans"/>
                <w:color w:val="0E2A75"/>
              </w:rPr>
              <w:t>Crearea Centrului regional de formare transfrontalieră pentru pregătirea integrată în caz de urgență, în Sântion, Borș (RO) prin</w:t>
            </w:r>
          </w:p>
          <w:p w14:paraId="2A041F74" w14:textId="77777777" w:rsidR="00314B10" w:rsidRPr="003846FF" w:rsidRDefault="00000000" w:rsidP="003846FF">
            <w:pPr>
              <w:pStyle w:val="TableParagraph"/>
              <w:spacing w:line="22" w:lineRule="atLeast"/>
              <w:ind w:left="828"/>
              <w:rPr>
                <w:rFonts w:ascii="Open Sans" w:hAnsi="Open Sans" w:cs="Open Sans"/>
                <w:color w:val="0E2A75"/>
              </w:rPr>
            </w:pPr>
            <w:r w:rsidRPr="003846FF">
              <w:rPr>
                <w:rFonts w:ascii="Open Sans" w:hAnsi="Open Sans" w:cs="Open Sans"/>
                <w:color w:val="0E2A75"/>
              </w:rPr>
              <w:t>renovarea și modernizarea unui centru de formare existent -BP</w:t>
            </w:r>
          </w:p>
          <w:p w14:paraId="7B3763A1" w14:textId="77777777" w:rsidR="003846FF" w:rsidRPr="003846FF" w:rsidRDefault="003846FF" w:rsidP="003846FF">
            <w:pPr>
              <w:pStyle w:val="TableParagraph"/>
              <w:numPr>
                <w:ilvl w:val="0"/>
                <w:numId w:val="2"/>
              </w:numPr>
              <w:tabs>
                <w:tab w:val="left" w:pos="828"/>
              </w:tabs>
              <w:spacing w:line="22" w:lineRule="atLeast"/>
              <w:ind w:right="290"/>
              <w:rPr>
                <w:rFonts w:ascii="Open Sans" w:hAnsi="Open Sans" w:cs="Open Sans"/>
              </w:rPr>
            </w:pPr>
            <w:r w:rsidRPr="003846FF">
              <w:rPr>
                <w:rFonts w:ascii="Open Sans" w:hAnsi="Open Sans" w:cs="Open Sans"/>
                <w:color w:val="0E2A75"/>
              </w:rPr>
              <w:t>Achiziționarea de echipament pentru instruire (2 containere pentru pregătire și instruire pentru salvatori și 1 container care va servi ca dulap, depozit și sală de duș)</w:t>
            </w:r>
          </w:p>
          <w:p w14:paraId="6E502B33" w14:textId="77777777" w:rsidR="003846FF" w:rsidRPr="003846FF" w:rsidRDefault="003846FF" w:rsidP="003846FF">
            <w:pPr>
              <w:pStyle w:val="TableParagraph"/>
              <w:numPr>
                <w:ilvl w:val="0"/>
                <w:numId w:val="2"/>
              </w:numPr>
              <w:tabs>
                <w:tab w:val="left" w:pos="828"/>
              </w:tabs>
              <w:spacing w:line="22" w:lineRule="atLeast"/>
              <w:rPr>
                <w:rFonts w:ascii="Open Sans" w:hAnsi="Open Sans" w:cs="Open Sans"/>
              </w:rPr>
            </w:pPr>
            <w:r w:rsidRPr="003846FF">
              <w:rPr>
                <w:rFonts w:ascii="Open Sans" w:hAnsi="Open Sans" w:cs="Open Sans"/>
                <w:color w:val="0E2A75"/>
              </w:rPr>
              <w:t>Modernizarea Centrului regional de formare transfrontalieră pentru</w:t>
            </w:r>
          </w:p>
          <w:p w14:paraId="783A2E3B" w14:textId="77777777" w:rsidR="003846FF" w:rsidRPr="003846FF" w:rsidRDefault="003846FF" w:rsidP="003846FF">
            <w:pPr>
              <w:pStyle w:val="TableParagraph"/>
              <w:numPr>
                <w:ilvl w:val="0"/>
                <w:numId w:val="2"/>
              </w:numPr>
              <w:tabs>
                <w:tab w:val="left" w:pos="886"/>
              </w:tabs>
              <w:spacing w:line="22" w:lineRule="atLeast"/>
              <w:ind w:left="886" w:hanging="418"/>
              <w:rPr>
                <w:rFonts w:ascii="Open Sans" w:hAnsi="Open Sans" w:cs="Open Sans"/>
              </w:rPr>
            </w:pPr>
            <w:r w:rsidRPr="003846FF">
              <w:rPr>
                <w:rFonts w:ascii="Open Sans" w:hAnsi="Open Sans" w:cs="Open Sans"/>
                <w:color w:val="0E2A75"/>
              </w:rPr>
              <w:t>pregătirea integrată în caz de urgență din Hajdúszoboszló (HU)</w:t>
            </w:r>
            <w:r w:rsidRPr="003846FF">
              <w:rPr>
                <w:rFonts w:ascii="Open Sans" w:hAnsi="Open Sans" w:cs="Open Sans"/>
                <w:color w:val="0E2A75"/>
              </w:rPr>
              <w:t xml:space="preserve"> </w:t>
            </w:r>
          </w:p>
          <w:p w14:paraId="3C6283DC" w14:textId="481C140E" w:rsidR="003846FF" w:rsidRPr="003846FF" w:rsidRDefault="003846FF" w:rsidP="003846FF">
            <w:pPr>
              <w:pStyle w:val="TableParagraph"/>
              <w:numPr>
                <w:ilvl w:val="0"/>
                <w:numId w:val="2"/>
              </w:numPr>
              <w:tabs>
                <w:tab w:val="left" w:pos="886"/>
              </w:tabs>
              <w:spacing w:line="22" w:lineRule="atLeast"/>
              <w:ind w:left="886" w:hanging="418"/>
              <w:rPr>
                <w:rFonts w:ascii="Open Sans" w:hAnsi="Open Sans" w:cs="Open Sans"/>
              </w:rPr>
            </w:pPr>
            <w:r w:rsidRPr="003846FF">
              <w:rPr>
                <w:rFonts w:ascii="Open Sans" w:hAnsi="Open Sans" w:cs="Open Sans"/>
                <w:color w:val="0E2A75"/>
              </w:rPr>
              <w:t>Elaborarea unei strategii transfrontaliere pentru prevenirea</w:t>
            </w:r>
          </w:p>
          <w:p w14:paraId="2A696491" w14:textId="77777777" w:rsidR="003846FF" w:rsidRPr="003846FF" w:rsidRDefault="003846FF" w:rsidP="003846FF">
            <w:pPr>
              <w:pStyle w:val="TableParagraph"/>
              <w:spacing w:line="22" w:lineRule="atLeast"/>
              <w:ind w:left="828" w:right="204"/>
              <w:rPr>
                <w:rFonts w:ascii="Open Sans" w:hAnsi="Open Sans" w:cs="Open Sans"/>
              </w:rPr>
            </w:pPr>
            <w:r w:rsidRPr="003846FF">
              <w:rPr>
                <w:rFonts w:ascii="Open Sans" w:hAnsi="Open Sans" w:cs="Open Sans"/>
                <w:color w:val="0E2A75"/>
              </w:rPr>
              <w:t>riscurilor și gestionarea dezastrelor la nivelul Euroregiunii Bihor- Hajdú Bihar</w:t>
            </w:r>
          </w:p>
          <w:p w14:paraId="7B11CE5D" w14:textId="77777777" w:rsidR="003846FF" w:rsidRPr="003846FF" w:rsidRDefault="003846FF" w:rsidP="003846FF">
            <w:pPr>
              <w:pStyle w:val="TableParagraph"/>
              <w:numPr>
                <w:ilvl w:val="0"/>
                <w:numId w:val="2"/>
              </w:numPr>
              <w:tabs>
                <w:tab w:val="left" w:pos="828"/>
              </w:tabs>
              <w:spacing w:line="22" w:lineRule="atLeast"/>
              <w:rPr>
                <w:rFonts w:ascii="Open Sans" w:hAnsi="Open Sans" w:cs="Open Sans"/>
              </w:rPr>
            </w:pPr>
            <w:r w:rsidRPr="003846FF">
              <w:rPr>
                <w:rFonts w:ascii="Open Sans" w:hAnsi="Open Sans" w:cs="Open Sans"/>
                <w:color w:val="0E2A75"/>
              </w:rPr>
              <w:t>Definirea protocoalelor comune și a procedurilor de intervenție în</w:t>
            </w:r>
          </w:p>
          <w:p w14:paraId="53D533E3" w14:textId="67F16CEA" w:rsidR="003846FF" w:rsidRPr="003846FF" w:rsidRDefault="003846FF" w:rsidP="003846FF">
            <w:pPr>
              <w:pStyle w:val="TableParagraph"/>
              <w:spacing w:line="22" w:lineRule="atLeast"/>
              <w:ind w:left="828"/>
              <w:rPr>
                <w:rFonts w:ascii="Open Sans" w:hAnsi="Open Sans" w:cs="Open Sans"/>
              </w:rPr>
            </w:pPr>
            <w:r w:rsidRPr="003846FF">
              <w:rPr>
                <w:rFonts w:ascii="Open Sans" w:hAnsi="Open Sans" w:cs="Open Sans"/>
                <w:color w:val="0E2A75"/>
              </w:rPr>
              <w:t>cazul principalelor riscuri, asa cum sunt acestea prioritizate în Strategia transfrontalieră pentru prevenirea riscurilor și gestionarea dezastrelor la nivelul Euroregiunii Bihor Hajdu-Bihar</w:t>
            </w:r>
          </w:p>
        </w:tc>
      </w:tr>
    </w:tbl>
    <w:p w14:paraId="36B1CC6A" w14:textId="77777777" w:rsidR="00314B10" w:rsidRDefault="00314B10">
      <w:pPr>
        <w:pStyle w:val="TableParagraph"/>
        <w:sectPr w:rsidR="00314B10" w:rsidSect="003846FF">
          <w:headerReference w:type="default" r:id="rId7"/>
          <w:footerReference w:type="default" r:id="rId8"/>
          <w:type w:val="continuous"/>
          <w:pgSz w:w="11910" w:h="16840"/>
          <w:pgMar w:top="1530" w:right="425" w:bottom="660" w:left="708" w:header="483" w:footer="467" w:gutter="0"/>
          <w:pgNumType w:start="1"/>
          <w:cols w:space="720"/>
        </w:sectPr>
      </w:pPr>
    </w:p>
    <w:p w14:paraId="5DFBC58A" w14:textId="77777777" w:rsidR="00314B10" w:rsidRDefault="00314B10">
      <w:pPr>
        <w:pStyle w:val="BodyText"/>
        <w:rPr>
          <w:rFonts w:ascii="Times New Roman"/>
          <w:sz w:val="4"/>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8008"/>
      </w:tblGrid>
      <w:tr w:rsidR="00314B10" w:rsidRPr="003846FF" w14:paraId="1DADFDC8" w14:textId="77777777" w:rsidTr="003846FF">
        <w:trPr>
          <w:trHeight w:val="3444"/>
        </w:trPr>
        <w:tc>
          <w:tcPr>
            <w:tcW w:w="2693" w:type="dxa"/>
            <w:shd w:val="clear" w:color="auto" w:fill="D4DCE3"/>
          </w:tcPr>
          <w:p w14:paraId="1ED62078" w14:textId="77777777" w:rsidR="00314B10" w:rsidRPr="003846FF" w:rsidRDefault="00314B10" w:rsidP="003846FF">
            <w:pPr>
              <w:pStyle w:val="TableParagraph"/>
              <w:spacing w:line="22" w:lineRule="atLeast"/>
              <w:rPr>
                <w:rFonts w:ascii="Open Sans" w:hAnsi="Open Sans" w:cs="Open Sans"/>
              </w:rPr>
            </w:pPr>
          </w:p>
        </w:tc>
        <w:tc>
          <w:tcPr>
            <w:tcW w:w="8008" w:type="dxa"/>
          </w:tcPr>
          <w:p w14:paraId="2E2A2896" w14:textId="77777777" w:rsidR="00314B10" w:rsidRPr="003846FF" w:rsidRDefault="00000000" w:rsidP="003846FF">
            <w:pPr>
              <w:pStyle w:val="TableParagraph"/>
              <w:numPr>
                <w:ilvl w:val="0"/>
                <w:numId w:val="2"/>
              </w:numPr>
              <w:tabs>
                <w:tab w:val="left" w:pos="828"/>
              </w:tabs>
              <w:spacing w:line="22" w:lineRule="atLeast"/>
              <w:rPr>
                <w:rFonts w:ascii="Open Sans" w:hAnsi="Open Sans" w:cs="Open Sans"/>
              </w:rPr>
            </w:pPr>
            <w:r w:rsidRPr="003846FF">
              <w:rPr>
                <w:rFonts w:ascii="Open Sans" w:hAnsi="Open Sans" w:cs="Open Sans"/>
                <w:color w:val="0E2A75"/>
              </w:rPr>
              <w:t>Organizarea unui atelier profesional în cadrul Conferinței</w:t>
            </w:r>
          </w:p>
          <w:p w14:paraId="2263DE35" w14:textId="77777777" w:rsidR="00314B10" w:rsidRPr="003846FF" w:rsidRDefault="00000000" w:rsidP="003846FF">
            <w:pPr>
              <w:pStyle w:val="TableParagraph"/>
              <w:spacing w:line="22" w:lineRule="atLeast"/>
              <w:ind w:left="828"/>
              <w:rPr>
                <w:rFonts w:ascii="Open Sans" w:hAnsi="Open Sans" w:cs="Open Sans"/>
              </w:rPr>
            </w:pPr>
            <w:r w:rsidRPr="003846FF">
              <w:rPr>
                <w:rFonts w:ascii="Open Sans" w:hAnsi="Open Sans" w:cs="Open Sans"/>
                <w:color w:val="0E2A75"/>
              </w:rPr>
              <w:t>internaționale „Căutare și salvare”, unde au fost prezentate</w:t>
            </w:r>
          </w:p>
          <w:p w14:paraId="6C505751" w14:textId="77777777" w:rsidR="00314B10" w:rsidRPr="003846FF" w:rsidRDefault="00000000" w:rsidP="003846FF">
            <w:pPr>
              <w:pStyle w:val="TableParagraph"/>
              <w:spacing w:line="22" w:lineRule="atLeast"/>
              <w:ind w:left="828"/>
              <w:rPr>
                <w:rFonts w:ascii="Open Sans" w:hAnsi="Open Sans" w:cs="Open Sans"/>
              </w:rPr>
            </w:pPr>
            <w:r w:rsidRPr="003846FF">
              <w:rPr>
                <w:rFonts w:ascii="Open Sans" w:hAnsi="Open Sans" w:cs="Open Sans"/>
                <w:color w:val="0E2A75"/>
              </w:rPr>
              <w:t>realizările atinse prin proiect cu scopul de a promova inițiativele de cooperare în domeniul prevenirii riscurilor și a managementului dezastrelor la nivelul zonelor transfrontaliere</w:t>
            </w:r>
          </w:p>
          <w:p w14:paraId="6132A3E1" w14:textId="77777777" w:rsidR="00314B10" w:rsidRPr="003846FF" w:rsidRDefault="00000000" w:rsidP="003846FF">
            <w:pPr>
              <w:pStyle w:val="TableParagraph"/>
              <w:numPr>
                <w:ilvl w:val="0"/>
                <w:numId w:val="2"/>
              </w:numPr>
              <w:tabs>
                <w:tab w:val="left" w:pos="828"/>
              </w:tabs>
              <w:spacing w:line="22" w:lineRule="atLeast"/>
              <w:rPr>
                <w:rFonts w:ascii="Open Sans" w:hAnsi="Open Sans" w:cs="Open Sans"/>
              </w:rPr>
            </w:pPr>
            <w:r w:rsidRPr="003846FF">
              <w:rPr>
                <w:rFonts w:ascii="Open Sans" w:hAnsi="Open Sans" w:cs="Open Sans"/>
                <w:color w:val="0E2A75"/>
              </w:rPr>
              <w:t>Organizarea unui program de instruire în județul Hajdú Bihar pentru</w:t>
            </w:r>
          </w:p>
          <w:p w14:paraId="6EC5C67A" w14:textId="77777777" w:rsidR="00314B10" w:rsidRPr="003846FF" w:rsidRDefault="00000000" w:rsidP="003846FF">
            <w:pPr>
              <w:pStyle w:val="TableParagraph"/>
              <w:spacing w:line="22" w:lineRule="atLeast"/>
              <w:ind w:left="828"/>
              <w:rPr>
                <w:rFonts w:ascii="Open Sans" w:hAnsi="Open Sans" w:cs="Open Sans"/>
              </w:rPr>
            </w:pPr>
            <w:r w:rsidRPr="003846FF">
              <w:rPr>
                <w:rFonts w:ascii="Open Sans" w:hAnsi="Open Sans" w:cs="Open Sans"/>
                <w:color w:val="0E2A75"/>
              </w:rPr>
              <w:t>pompieri profesioniști și voluntari din Ungaria și România</w:t>
            </w:r>
          </w:p>
          <w:p w14:paraId="345C2B0F" w14:textId="77777777" w:rsidR="00314B10" w:rsidRPr="003846FF" w:rsidRDefault="00000000" w:rsidP="003846FF">
            <w:pPr>
              <w:pStyle w:val="TableParagraph"/>
              <w:numPr>
                <w:ilvl w:val="0"/>
                <w:numId w:val="2"/>
              </w:numPr>
              <w:tabs>
                <w:tab w:val="left" w:pos="828"/>
              </w:tabs>
              <w:spacing w:line="22" w:lineRule="atLeast"/>
              <w:ind w:right="396"/>
              <w:rPr>
                <w:rFonts w:ascii="Open Sans" w:hAnsi="Open Sans" w:cs="Open Sans"/>
              </w:rPr>
            </w:pPr>
            <w:r w:rsidRPr="003846FF">
              <w:rPr>
                <w:rFonts w:ascii="Open Sans" w:hAnsi="Open Sans" w:cs="Open Sans"/>
                <w:color w:val="0E2A75"/>
              </w:rPr>
              <w:t>Organizarea de cursuri de limba engleză, română și maghiară la care au participat 80 de pompieri precum și alți angajați relevanți care lucrează în domeniul gestionării dezastrelor.</w:t>
            </w:r>
          </w:p>
          <w:p w14:paraId="6A66C08D" w14:textId="77777777" w:rsidR="00314B10" w:rsidRPr="003846FF" w:rsidRDefault="00000000" w:rsidP="003846FF">
            <w:pPr>
              <w:pStyle w:val="TableParagraph"/>
              <w:spacing w:line="22" w:lineRule="atLeast"/>
              <w:ind w:left="108"/>
              <w:rPr>
                <w:rFonts w:ascii="Open Sans" w:hAnsi="Open Sans" w:cs="Open Sans"/>
                <w:b/>
                <w:i/>
              </w:rPr>
            </w:pPr>
            <w:r w:rsidRPr="003846FF">
              <w:rPr>
                <w:rFonts w:ascii="Open Sans" w:hAnsi="Open Sans" w:cs="Open Sans"/>
                <w:b/>
                <w:i/>
                <w:color w:val="0E2A75"/>
              </w:rPr>
              <w:t>Proiectul a fost finalizat cu succes, la data de 31.03.2021.</w:t>
            </w:r>
          </w:p>
          <w:p w14:paraId="70919FD7" w14:textId="79FE3731" w:rsidR="00314B10" w:rsidRPr="003846FF" w:rsidRDefault="00000000" w:rsidP="003846FF">
            <w:pPr>
              <w:pStyle w:val="TableParagraph"/>
              <w:spacing w:line="22" w:lineRule="atLeast"/>
              <w:ind w:left="108"/>
              <w:rPr>
                <w:rFonts w:ascii="Open Sans" w:hAnsi="Open Sans" w:cs="Open Sans"/>
                <w:b/>
                <w:i/>
              </w:rPr>
            </w:pPr>
            <w:r w:rsidRPr="003846FF">
              <w:rPr>
                <w:rFonts w:ascii="Open Sans" w:hAnsi="Open Sans" w:cs="Open Sans"/>
                <w:b/>
                <w:i/>
                <w:color w:val="0E2A75"/>
              </w:rPr>
              <w:t>Toate activitățile prevăzute in proiect au fost realizate (100%).</w:t>
            </w:r>
          </w:p>
        </w:tc>
      </w:tr>
      <w:tr w:rsidR="00314B10" w:rsidRPr="003846FF" w14:paraId="59021D90" w14:textId="77777777" w:rsidTr="003846FF">
        <w:trPr>
          <w:trHeight w:val="5514"/>
        </w:trPr>
        <w:tc>
          <w:tcPr>
            <w:tcW w:w="2693" w:type="dxa"/>
            <w:shd w:val="clear" w:color="auto" w:fill="D4DCE3"/>
          </w:tcPr>
          <w:p w14:paraId="19DC32D6" w14:textId="77777777" w:rsidR="00314B10" w:rsidRPr="003846FF" w:rsidRDefault="00314B10" w:rsidP="003846FF">
            <w:pPr>
              <w:pStyle w:val="TableParagraph"/>
              <w:spacing w:line="22" w:lineRule="atLeast"/>
              <w:rPr>
                <w:rFonts w:ascii="Open Sans" w:hAnsi="Open Sans" w:cs="Open Sans"/>
              </w:rPr>
            </w:pPr>
          </w:p>
          <w:p w14:paraId="2F97065F" w14:textId="77777777" w:rsidR="00314B10" w:rsidRPr="003846FF" w:rsidRDefault="00314B10" w:rsidP="003846FF">
            <w:pPr>
              <w:pStyle w:val="TableParagraph"/>
              <w:spacing w:line="22" w:lineRule="atLeast"/>
              <w:rPr>
                <w:rFonts w:ascii="Open Sans" w:hAnsi="Open Sans" w:cs="Open Sans"/>
              </w:rPr>
            </w:pPr>
          </w:p>
          <w:p w14:paraId="4FDC410E" w14:textId="77777777" w:rsidR="00314B10" w:rsidRPr="003846FF" w:rsidRDefault="00314B10" w:rsidP="003846FF">
            <w:pPr>
              <w:pStyle w:val="TableParagraph"/>
              <w:spacing w:line="22" w:lineRule="atLeast"/>
              <w:rPr>
                <w:rFonts w:ascii="Open Sans" w:hAnsi="Open Sans" w:cs="Open Sans"/>
              </w:rPr>
            </w:pPr>
          </w:p>
          <w:p w14:paraId="4FB8880F" w14:textId="77777777" w:rsidR="00314B10" w:rsidRPr="003846FF" w:rsidRDefault="00314B10" w:rsidP="003846FF">
            <w:pPr>
              <w:pStyle w:val="TableParagraph"/>
              <w:spacing w:line="22" w:lineRule="atLeast"/>
              <w:rPr>
                <w:rFonts w:ascii="Open Sans" w:hAnsi="Open Sans" w:cs="Open Sans"/>
              </w:rPr>
            </w:pPr>
          </w:p>
          <w:p w14:paraId="75487659" w14:textId="77777777" w:rsidR="00314B10" w:rsidRPr="003846FF" w:rsidRDefault="00314B10" w:rsidP="003846FF">
            <w:pPr>
              <w:pStyle w:val="TableParagraph"/>
              <w:spacing w:line="22" w:lineRule="atLeast"/>
              <w:rPr>
                <w:rFonts w:ascii="Open Sans" w:hAnsi="Open Sans" w:cs="Open Sans"/>
              </w:rPr>
            </w:pPr>
          </w:p>
          <w:p w14:paraId="77F1186F" w14:textId="77777777" w:rsidR="00314B10" w:rsidRPr="003846FF" w:rsidRDefault="00314B10" w:rsidP="003846FF">
            <w:pPr>
              <w:pStyle w:val="TableParagraph"/>
              <w:spacing w:line="22" w:lineRule="atLeast"/>
              <w:rPr>
                <w:rFonts w:ascii="Open Sans" w:hAnsi="Open Sans" w:cs="Open Sans"/>
              </w:rPr>
            </w:pPr>
          </w:p>
          <w:p w14:paraId="77434DEF" w14:textId="77777777" w:rsidR="00314B10" w:rsidRPr="003846FF" w:rsidRDefault="00314B10" w:rsidP="003846FF">
            <w:pPr>
              <w:pStyle w:val="TableParagraph"/>
              <w:spacing w:line="22" w:lineRule="atLeast"/>
              <w:rPr>
                <w:rFonts w:ascii="Open Sans" w:hAnsi="Open Sans" w:cs="Open Sans"/>
              </w:rPr>
            </w:pPr>
          </w:p>
          <w:p w14:paraId="6C11D484" w14:textId="77777777" w:rsidR="00314B10" w:rsidRPr="003846FF" w:rsidRDefault="00314B10" w:rsidP="003846FF">
            <w:pPr>
              <w:pStyle w:val="TableParagraph"/>
              <w:spacing w:line="22" w:lineRule="atLeast"/>
              <w:rPr>
                <w:rFonts w:ascii="Open Sans" w:hAnsi="Open Sans" w:cs="Open Sans"/>
              </w:rPr>
            </w:pPr>
          </w:p>
          <w:p w14:paraId="0312AE30" w14:textId="77777777" w:rsidR="00314B10" w:rsidRPr="003846FF" w:rsidRDefault="00314B10" w:rsidP="003846FF">
            <w:pPr>
              <w:pStyle w:val="TableParagraph"/>
              <w:spacing w:line="22" w:lineRule="atLeast"/>
              <w:rPr>
                <w:rFonts w:ascii="Open Sans" w:hAnsi="Open Sans" w:cs="Open Sans"/>
              </w:rPr>
            </w:pPr>
          </w:p>
          <w:p w14:paraId="7EB12001" w14:textId="77777777" w:rsidR="00314B10" w:rsidRPr="003846FF" w:rsidRDefault="00314B10" w:rsidP="003846FF">
            <w:pPr>
              <w:pStyle w:val="TableParagraph"/>
              <w:spacing w:line="22" w:lineRule="atLeast"/>
              <w:rPr>
                <w:rFonts w:ascii="Open Sans" w:hAnsi="Open Sans" w:cs="Open Sans"/>
              </w:rPr>
            </w:pPr>
          </w:p>
          <w:p w14:paraId="6C25CBE3" w14:textId="77777777" w:rsidR="00314B10" w:rsidRPr="003846FF" w:rsidRDefault="00314B10" w:rsidP="003846FF">
            <w:pPr>
              <w:pStyle w:val="TableParagraph"/>
              <w:spacing w:line="22" w:lineRule="atLeast"/>
              <w:rPr>
                <w:rFonts w:ascii="Open Sans" w:hAnsi="Open Sans" w:cs="Open Sans"/>
              </w:rPr>
            </w:pPr>
          </w:p>
          <w:p w14:paraId="010BA83F" w14:textId="77777777" w:rsidR="00314B10" w:rsidRPr="003846FF" w:rsidRDefault="00314B10" w:rsidP="003846FF">
            <w:pPr>
              <w:pStyle w:val="TableParagraph"/>
              <w:spacing w:line="22" w:lineRule="atLeast"/>
              <w:rPr>
                <w:rFonts w:ascii="Open Sans" w:hAnsi="Open Sans" w:cs="Open Sans"/>
              </w:rPr>
            </w:pPr>
          </w:p>
          <w:p w14:paraId="37423834" w14:textId="77777777" w:rsidR="00314B10" w:rsidRPr="003846FF" w:rsidRDefault="00314B10" w:rsidP="003846FF">
            <w:pPr>
              <w:pStyle w:val="TableParagraph"/>
              <w:spacing w:line="22" w:lineRule="atLeast"/>
              <w:rPr>
                <w:rFonts w:ascii="Open Sans" w:hAnsi="Open Sans" w:cs="Open Sans"/>
              </w:rPr>
            </w:pPr>
          </w:p>
          <w:p w14:paraId="0272E907" w14:textId="77777777" w:rsidR="00314B10" w:rsidRPr="003846FF" w:rsidRDefault="00314B10" w:rsidP="003846FF">
            <w:pPr>
              <w:pStyle w:val="TableParagraph"/>
              <w:spacing w:line="22" w:lineRule="atLeast"/>
              <w:rPr>
                <w:rFonts w:ascii="Open Sans" w:hAnsi="Open Sans" w:cs="Open Sans"/>
              </w:rPr>
            </w:pPr>
          </w:p>
          <w:p w14:paraId="0D627116" w14:textId="77777777" w:rsidR="00314B10" w:rsidRPr="003846FF" w:rsidRDefault="00000000" w:rsidP="003846FF">
            <w:pPr>
              <w:pStyle w:val="TableParagraph"/>
              <w:spacing w:line="22" w:lineRule="atLeast"/>
              <w:ind w:left="107"/>
              <w:rPr>
                <w:rFonts w:ascii="Open Sans" w:hAnsi="Open Sans" w:cs="Open Sans"/>
                <w:b/>
                <w:bCs/>
              </w:rPr>
            </w:pPr>
            <w:r w:rsidRPr="003846FF">
              <w:rPr>
                <w:rFonts w:ascii="Open Sans" w:hAnsi="Open Sans" w:cs="Open Sans"/>
                <w:b/>
                <w:bCs/>
                <w:color w:val="0E2A75"/>
              </w:rPr>
              <w:t>Principalele rezultate</w:t>
            </w:r>
          </w:p>
        </w:tc>
        <w:tc>
          <w:tcPr>
            <w:tcW w:w="8008" w:type="dxa"/>
          </w:tcPr>
          <w:p w14:paraId="1C15D596" w14:textId="40AEEF2A" w:rsidR="007203C5" w:rsidRPr="007203C5" w:rsidRDefault="007203C5" w:rsidP="003846FF">
            <w:pPr>
              <w:pStyle w:val="TableParagraph"/>
              <w:spacing w:line="22" w:lineRule="atLeast"/>
              <w:ind w:left="108"/>
              <w:rPr>
                <w:rFonts w:ascii="Open Sans" w:hAnsi="Open Sans" w:cs="Open Sans"/>
                <w:b/>
                <w:bCs/>
                <w:color w:val="1F497D" w:themeColor="text2"/>
              </w:rPr>
            </w:pPr>
            <w:r w:rsidRPr="007203C5">
              <w:rPr>
                <w:rFonts w:ascii="Open Sans" w:hAnsi="Open Sans" w:cs="Open Sans"/>
                <w:b/>
                <w:bCs/>
                <w:color w:val="1F497D" w:themeColor="text2"/>
              </w:rPr>
              <w:t xml:space="preserve">Livrabile: </w:t>
            </w:r>
          </w:p>
          <w:p w14:paraId="204D818C" w14:textId="77777777" w:rsidR="007203C5" w:rsidRPr="007203C5" w:rsidRDefault="007203C5" w:rsidP="007203C5">
            <w:pPr>
              <w:pStyle w:val="TableParagraph"/>
              <w:spacing w:line="22" w:lineRule="atLeast"/>
              <w:ind w:left="108"/>
              <w:rPr>
                <w:rFonts w:ascii="Open Sans" w:hAnsi="Open Sans" w:cs="Open Sans"/>
                <w:color w:val="1F497D" w:themeColor="text2"/>
              </w:rPr>
            </w:pPr>
            <w:r w:rsidRPr="007203C5">
              <w:rPr>
                <w:rFonts w:ascii="Open Sans" w:hAnsi="Open Sans" w:cs="Open Sans"/>
                <w:color w:val="1F497D" w:themeColor="text2"/>
              </w:rPr>
              <w:t>1) Strategia transfrontalieră pentru prevenirea riscurilor și gestionarea dezastrelor la nivelul Euroregiunii Bihor-Hajdu Bihar;</w:t>
            </w:r>
          </w:p>
          <w:p w14:paraId="586F9ED1" w14:textId="77777777" w:rsidR="007203C5" w:rsidRPr="007203C5" w:rsidRDefault="007203C5" w:rsidP="007203C5">
            <w:pPr>
              <w:pStyle w:val="TableParagraph"/>
              <w:spacing w:line="22" w:lineRule="atLeast"/>
              <w:ind w:left="108"/>
              <w:rPr>
                <w:rFonts w:ascii="Open Sans" w:hAnsi="Open Sans" w:cs="Open Sans"/>
                <w:color w:val="1F497D" w:themeColor="text2"/>
              </w:rPr>
            </w:pPr>
            <w:r w:rsidRPr="007203C5">
              <w:rPr>
                <w:rFonts w:ascii="Open Sans" w:hAnsi="Open Sans" w:cs="Open Sans"/>
                <w:color w:val="1F497D" w:themeColor="text2"/>
              </w:rPr>
              <w:t>2) Cursuri de învățare a limbilor maghiară și engleză organizate pentru 50 de pompieri și alte cadre cheie relevante, în domeniul gestionării dezastrelor la nivelul județului Bihor;</w:t>
            </w:r>
          </w:p>
          <w:p w14:paraId="4D2C924A" w14:textId="2F5CB413" w:rsidR="007203C5" w:rsidRPr="007203C5" w:rsidRDefault="007203C5" w:rsidP="007203C5">
            <w:pPr>
              <w:pStyle w:val="TableParagraph"/>
              <w:spacing w:line="22" w:lineRule="atLeast"/>
              <w:ind w:left="108"/>
              <w:rPr>
                <w:rFonts w:ascii="Open Sans" w:hAnsi="Open Sans" w:cs="Open Sans"/>
                <w:color w:val="1F497D" w:themeColor="text2"/>
              </w:rPr>
            </w:pPr>
            <w:r w:rsidRPr="007203C5">
              <w:rPr>
                <w:rFonts w:ascii="Open Sans" w:hAnsi="Open Sans" w:cs="Open Sans"/>
                <w:color w:val="1F497D" w:themeColor="text2"/>
              </w:rPr>
              <w:t xml:space="preserve">3) Elaborarea </w:t>
            </w:r>
            <w:r w:rsidRPr="007203C5">
              <w:rPr>
                <w:rFonts w:ascii="Open Sans" w:hAnsi="Open Sans" w:cs="Open Sans"/>
                <w:color w:val="1F497D" w:themeColor="text2"/>
              </w:rPr>
              <w:t>Planurilor</w:t>
            </w:r>
            <w:r w:rsidRPr="007203C5">
              <w:rPr>
                <w:rFonts w:ascii="Open Sans" w:hAnsi="Open Sans" w:cs="Open Sans"/>
                <w:color w:val="1F497D" w:themeColor="text2"/>
              </w:rPr>
              <w:t xml:space="preserve"> Tehnice pentru extinderea și dotarea Centrului Regional de Formare Transfrontalieră pentru Pregătire Integrată pentru Intervenții în Caz de Urgență, cu sediul în Borș (RO);</w:t>
            </w:r>
          </w:p>
          <w:p w14:paraId="41F4FCF8" w14:textId="77777777" w:rsidR="007203C5" w:rsidRPr="007203C5" w:rsidRDefault="007203C5" w:rsidP="007203C5">
            <w:pPr>
              <w:pStyle w:val="TableParagraph"/>
              <w:spacing w:line="22" w:lineRule="atLeast"/>
              <w:ind w:left="108"/>
              <w:rPr>
                <w:rFonts w:ascii="Open Sans" w:hAnsi="Open Sans" w:cs="Open Sans"/>
                <w:color w:val="1F497D" w:themeColor="text2"/>
              </w:rPr>
            </w:pPr>
            <w:r w:rsidRPr="007203C5">
              <w:rPr>
                <w:rFonts w:ascii="Open Sans" w:hAnsi="Open Sans" w:cs="Open Sans"/>
                <w:color w:val="1F497D" w:themeColor="text2"/>
              </w:rPr>
              <w:t>4) 1 atelier profesional în cadrul Conferinței Internaționale „Căutare și Salvare”, cu participarea autorităților centrale (Ministere, Inspectorate Naționale, Inspectorate Județene), a rețelelor europene și internaționale relevante (Forumul European de Protecție Civilă, Asociațiile Pompierilor din Uniunea Europeană, alianța Uniunii Europene a Pompierilor), a reprezentanților instituțiilor europene (Mecanismul UE de Protecție Civilă) pentru a promova noi inițiative de cooperare în domeniul prevenirii riscurilor și gestionării dezastrelor la nivelul zonelor transfrontaliere. Evenimentul a avut o prezență de 150 de participanți;</w:t>
            </w:r>
          </w:p>
          <w:p w14:paraId="6E9998FF" w14:textId="77777777" w:rsidR="007203C5" w:rsidRPr="007203C5" w:rsidRDefault="007203C5" w:rsidP="007203C5">
            <w:pPr>
              <w:pStyle w:val="TableParagraph"/>
              <w:spacing w:line="22" w:lineRule="atLeast"/>
              <w:ind w:left="108"/>
              <w:rPr>
                <w:rFonts w:ascii="Open Sans" w:hAnsi="Open Sans" w:cs="Open Sans"/>
                <w:color w:val="1F497D" w:themeColor="text2"/>
              </w:rPr>
            </w:pPr>
            <w:r w:rsidRPr="007203C5">
              <w:rPr>
                <w:rFonts w:ascii="Open Sans" w:hAnsi="Open Sans" w:cs="Open Sans"/>
                <w:color w:val="1F497D" w:themeColor="text2"/>
              </w:rPr>
              <w:t>5) Cursuri de limba maghiară și engleză organizate pentru 30 de pompieri și alt personal cheie relevant, care lucrează în domeniul managementului dezastrelor la nivelul județului Hajdu-Bihar;</w:t>
            </w:r>
          </w:p>
          <w:p w14:paraId="158F65DA" w14:textId="2FA6EA26" w:rsidR="007203C5" w:rsidRPr="007203C5" w:rsidRDefault="007203C5" w:rsidP="007203C5">
            <w:pPr>
              <w:pStyle w:val="TableParagraph"/>
              <w:spacing w:line="22" w:lineRule="atLeast"/>
              <w:ind w:left="108"/>
              <w:rPr>
                <w:rFonts w:ascii="Open Sans" w:hAnsi="Open Sans" w:cs="Open Sans"/>
                <w:color w:val="1F497D" w:themeColor="text2"/>
              </w:rPr>
            </w:pPr>
            <w:r w:rsidRPr="007203C5">
              <w:rPr>
                <w:rFonts w:ascii="Open Sans" w:hAnsi="Open Sans" w:cs="Open Sans"/>
                <w:color w:val="1F497D" w:themeColor="text2"/>
              </w:rPr>
              <w:t xml:space="preserve">6) </w:t>
            </w:r>
            <w:r w:rsidRPr="007203C5">
              <w:rPr>
                <w:rFonts w:ascii="Open Sans" w:hAnsi="Open Sans" w:cs="Open Sans"/>
                <w:color w:val="1F497D" w:themeColor="text2"/>
              </w:rPr>
              <w:t>Planuri</w:t>
            </w:r>
            <w:r w:rsidRPr="007203C5">
              <w:rPr>
                <w:rFonts w:ascii="Open Sans" w:hAnsi="Open Sans" w:cs="Open Sans"/>
                <w:color w:val="1F497D" w:themeColor="text2"/>
              </w:rPr>
              <w:t xml:space="preserve"> tehnice necesare pentru renovarea Centrului Regional Transfrontalier de Formare pentru Pregătire Integrată pentru Intervenții în Caz de Urgență, cu sediul în Hajdúszoboszló</w:t>
            </w:r>
            <w:r w:rsidRPr="007203C5">
              <w:rPr>
                <w:rFonts w:ascii="Open Sans" w:hAnsi="Open Sans" w:cs="Open Sans"/>
                <w:color w:val="1F497D" w:themeColor="text2"/>
              </w:rPr>
              <w:t xml:space="preserve"> (HU)</w:t>
            </w:r>
            <w:r w:rsidRPr="007203C5">
              <w:rPr>
                <w:rFonts w:ascii="Open Sans" w:hAnsi="Open Sans" w:cs="Open Sans"/>
                <w:color w:val="1F497D" w:themeColor="text2"/>
              </w:rPr>
              <w:t>;</w:t>
            </w:r>
          </w:p>
          <w:p w14:paraId="39430F5F" w14:textId="77777777" w:rsidR="007203C5" w:rsidRPr="007203C5" w:rsidRDefault="007203C5" w:rsidP="007203C5">
            <w:pPr>
              <w:pStyle w:val="TableParagraph"/>
              <w:spacing w:line="22" w:lineRule="atLeast"/>
              <w:ind w:left="108"/>
              <w:rPr>
                <w:rFonts w:ascii="Open Sans" w:hAnsi="Open Sans" w:cs="Open Sans"/>
                <w:color w:val="1F497D" w:themeColor="text2"/>
              </w:rPr>
            </w:pPr>
            <w:r w:rsidRPr="007203C5">
              <w:rPr>
                <w:rFonts w:ascii="Open Sans" w:hAnsi="Open Sans" w:cs="Open Sans"/>
                <w:color w:val="1F497D" w:themeColor="text2"/>
              </w:rPr>
              <w:t>7) Un Centru Regional Transfrontalier de Formare pentru Pregătire Integrată pentru Intervenții în Caz de Urgență, renovat și echipat, situat în Hajdúszoboszló.</w:t>
            </w:r>
          </w:p>
          <w:p w14:paraId="5CB18BAC" w14:textId="77777777" w:rsidR="007203C5" w:rsidRPr="007203C5" w:rsidRDefault="007203C5" w:rsidP="007203C5">
            <w:pPr>
              <w:pStyle w:val="TableParagraph"/>
              <w:spacing w:line="22" w:lineRule="atLeast"/>
              <w:ind w:left="108"/>
              <w:rPr>
                <w:rFonts w:ascii="Open Sans" w:hAnsi="Open Sans" w:cs="Open Sans"/>
                <w:color w:val="1F497D" w:themeColor="text2"/>
              </w:rPr>
            </w:pPr>
            <w:r w:rsidRPr="007203C5">
              <w:rPr>
                <w:rFonts w:ascii="Open Sans" w:hAnsi="Open Sans" w:cs="Open Sans"/>
                <w:color w:val="1F497D" w:themeColor="text2"/>
              </w:rPr>
              <w:t>8) Un Centru Regional Transfrontalier de Formare pentru Pregătire Integrată pentru Intervenții în Caz de Urgență, renovat și echipat, situat în Borș (RO);</w:t>
            </w:r>
          </w:p>
          <w:p w14:paraId="6ADBB50B" w14:textId="77777777" w:rsidR="007203C5" w:rsidRPr="007203C5" w:rsidRDefault="007203C5" w:rsidP="007203C5">
            <w:pPr>
              <w:pStyle w:val="TableParagraph"/>
              <w:spacing w:line="22" w:lineRule="atLeast"/>
              <w:ind w:left="108"/>
              <w:rPr>
                <w:rFonts w:ascii="Open Sans" w:hAnsi="Open Sans" w:cs="Open Sans"/>
                <w:color w:val="1F497D" w:themeColor="text2"/>
              </w:rPr>
            </w:pPr>
            <w:r w:rsidRPr="007203C5">
              <w:rPr>
                <w:rFonts w:ascii="Open Sans" w:hAnsi="Open Sans" w:cs="Open Sans"/>
                <w:color w:val="1F497D" w:themeColor="text2"/>
              </w:rPr>
              <w:t>9) Platforma de Formare în Mediu</w:t>
            </w:r>
            <w:r w:rsidRPr="007203C5">
              <w:rPr>
                <w:rFonts w:ascii="Open Sans" w:hAnsi="Open Sans" w:cs="Open Sans"/>
                <w:color w:val="1F497D" w:themeColor="text2"/>
              </w:rPr>
              <w:t>l</w:t>
            </w:r>
            <w:r w:rsidRPr="007203C5">
              <w:rPr>
                <w:rFonts w:ascii="Open Sans" w:hAnsi="Open Sans" w:cs="Open Sans"/>
                <w:color w:val="1F497D" w:themeColor="text2"/>
              </w:rPr>
              <w:t xml:space="preserve"> Virtual instalată și personalul intern instruit pentru utilizarea platformei, necesară pentru asigurarea pregătirii la nivelul Centrului Regional Transfrontalier de Formare pentru Pregătire Integrată pentru Intervenții în Caz de Urgență; </w:t>
            </w:r>
          </w:p>
          <w:p w14:paraId="22482F5C" w14:textId="6A9ED845" w:rsidR="007203C5" w:rsidRPr="007203C5" w:rsidRDefault="007203C5" w:rsidP="007203C5">
            <w:pPr>
              <w:pStyle w:val="TableParagraph"/>
              <w:spacing w:line="22" w:lineRule="atLeast"/>
              <w:ind w:left="108"/>
              <w:rPr>
                <w:rFonts w:ascii="Open Sans" w:hAnsi="Open Sans" w:cs="Open Sans"/>
                <w:color w:val="1F497D" w:themeColor="text2"/>
              </w:rPr>
            </w:pPr>
            <w:r w:rsidRPr="007203C5">
              <w:rPr>
                <w:rFonts w:ascii="Open Sans" w:hAnsi="Open Sans" w:cs="Open Sans"/>
                <w:color w:val="1F497D" w:themeColor="text2"/>
              </w:rPr>
              <w:t xml:space="preserve">11) Protocoale comune și proceduri de intervenție, care urmează să fie aplicate în cazul principalelor riscuri de dezastru în Euroregiunea Bihor </w:t>
            </w:r>
            <w:r w:rsidRPr="007203C5">
              <w:rPr>
                <w:rFonts w:ascii="Open Sans" w:hAnsi="Open Sans" w:cs="Open Sans"/>
                <w:color w:val="1F497D" w:themeColor="text2"/>
              </w:rPr>
              <w:lastRenderedPageBreak/>
              <w:t>Hajdu-Bihar;</w:t>
            </w:r>
          </w:p>
          <w:p w14:paraId="07AC12A4" w14:textId="2C5EF0A5" w:rsidR="007203C5" w:rsidRPr="007203C5" w:rsidRDefault="007203C5" w:rsidP="007203C5">
            <w:pPr>
              <w:pStyle w:val="TableParagraph"/>
              <w:spacing w:line="22" w:lineRule="atLeast"/>
              <w:ind w:left="108"/>
              <w:rPr>
                <w:rFonts w:ascii="Open Sans" w:hAnsi="Open Sans" w:cs="Open Sans"/>
                <w:color w:val="1F497D" w:themeColor="text2"/>
              </w:rPr>
            </w:pPr>
            <w:r w:rsidRPr="007203C5">
              <w:rPr>
                <w:rFonts w:ascii="Open Sans" w:hAnsi="Open Sans" w:cs="Open Sans"/>
                <w:color w:val="1F497D" w:themeColor="text2"/>
              </w:rPr>
              <w:t>12) 1 Program de instruire pentru pompieri profesioniști și voluntari din Ungaria și România.</w:t>
            </w:r>
          </w:p>
          <w:p w14:paraId="169654F5" w14:textId="77777777" w:rsidR="007203C5" w:rsidRPr="007203C5" w:rsidRDefault="007203C5" w:rsidP="003846FF">
            <w:pPr>
              <w:pStyle w:val="TableParagraph"/>
              <w:spacing w:line="22" w:lineRule="atLeast"/>
              <w:ind w:left="108"/>
              <w:rPr>
                <w:rFonts w:ascii="Open Sans" w:hAnsi="Open Sans" w:cs="Open Sans"/>
                <w:color w:val="1F497D" w:themeColor="text2"/>
              </w:rPr>
            </w:pPr>
          </w:p>
          <w:p w14:paraId="14990DAC" w14:textId="3F4B86DB" w:rsidR="00314B10" w:rsidRPr="007203C5" w:rsidRDefault="00000000" w:rsidP="003846FF">
            <w:pPr>
              <w:pStyle w:val="TableParagraph"/>
              <w:spacing w:line="22" w:lineRule="atLeast"/>
              <w:ind w:left="108"/>
              <w:rPr>
                <w:rFonts w:ascii="Open Sans" w:hAnsi="Open Sans" w:cs="Open Sans"/>
                <w:b/>
                <w:bCs/>
                <w:color w:val="1F497D" w:themeColor="text2"/>
              </w:rPr>
            </w:pPr>
            <w:r w:rsidRPr="007203C5">
              <w:rPr>
                <w:rFonts w:ascii="Open Sans" w:hAnsi="Open Sans" w:cs="Open Sans"/>
                <w:b/>
                <w:bCs/>
                <w:color w:val="1F497D" w:themeColor="text2"/>
              </w:rPr>
              <w:t>Rezultatele:</w:t>
            </w:r>
          </w:p>
          <w:p w14:paraId="40BA65FF" w14:textId="77777777" w:rsidR="007203C5" w:rsidRPr="007203C5" w:rsidRDefault="007203C5" w:rsidP="007203C5">
            <w:pPr>
              <w:pStyle w:val="TableParagraph"/>
              <w:spacing w:line="22" w:lineRule="atLeast"/>
              <w:ind w:left="108"/>
              <w:rPr>
                <w:rFonts w:ascii="Open Sans" w:hAnsi="Open Sans" w:cs="Open Sans"/>
                <w:color w:val="1F497D" w:themeColor="text2"/>
              </w:rPr>
            </w:pPr>
            <w:r w:rsidRPr="007203C5">
              <w:rPr>
                <w:rFonts w:ascii="Open Sans" w:hAnsi="Open Sans" w:cs="Open Sans"/>
                <w:color w:val="1F497D" w:themeColor="text2"/>
              </w:rPr>
              <w:t>1) Creșterea calității intervențiilor prin dezvoltarea infrastructurii transfrontaliere la nivel regional în domeniul pregătirii pentru situații de urgență.</w:t>
            </w:r>
          </w:p>
          <w:p w14:paraId="57D71AF2" w14:textId="77777777" w:rsidR="007203C5" w:rsidRPr="007203C5" w:rsidRDefault="007203C5" w:rsidP="007203C5">
            <w:pPr>
              <w:pStyle w:val="TableParagraph"/>
              <w:spacing w:line="22" w:lineRule="atLeast"/>
              <w:ind w:left="108"/>
              <w:rPr>
                <w:rFonts w:ascii="Open Sans" w:hAnsi="Open Sans" w:cs="Open Sans"/>
                <w:color w:val="1F497D" w:themeColor="text2"/>
              </w:rPr>
            </w:pPr>
            <w:r w:rsidRPr="007203C5">
              <w:rPr>
                <w:rFonts w:ascii="Open Sans" w:hAnsi="Open Sans" w:cs="Open Sans"/>
                <w:color w:val="1F497D" w:themeColor="text2"/>
              </w:rPr>
              <w:t>2) O mai bună protecție a populației prin îmbunătățirea serviciilor de urgență în zona transfrontalieră, dotate cu echipamente profesionale achiziționate în cadrul proiectului, utilizate în cazul diferitelor tipuri de urgențe;</w:t>
            </w:r>
          </w:p>
          <w:p w14:paraId="45EE9AC1" w14:textId="718A3A9C" w:rsidR="007203C5" w:rsidRPr="007203C5" w:rsidRDefault="007203C5" w:rsidP="007203C5">
            <w:pPr>
              <w:pStyle w:val="TableParagraph"/>
              <w:spacing w:line="22" w:lineRule="atLeast"/>
              <w:ind w:left="108"/>
              <w:rPr>
                <w:rFonts w:ascii="Open Sans" w:hAnsi="Open Sans" w:cs="Open Sans"/>
                <w:color w:val="1F497D" w:themeColor="text2"/>
              </w:rPr>
            </w:pPr>
            <w:r w:rsidRPr="007203C5">
              <w:rPr>
                <w:rFonts w:ascii="Open Sans" w:hAnsi="Open Sans" w:cs="Open Sans"/>
                <w:color w:val="1F497D" w:themeColor="text2"/>
              </w:rPr>
              <w:t>3) Strategia comună pentru situații de urgență, cursurile de învățare a limbilor străine și atelierele profesionale asigură un răspuns mai rapid și mai eficient și o cooperare mai strânsă în caz de dezastre.</w:t>
            </w:r>
          </w:p>
          <w:p w14:paraId="4A457A7C" w14:textId="77777777" w:rsidR="003846FF" w:rsidRPr="007203C5" w:rsidRDefault="003846FF" w:rsidP="003846FF">
            <w:pPr>
              <w:pStyle w:val="TableParagraph"/>
              <w:spacing w:line="22" w:lineRule="atLeast"/>
              <w:ind w:left="108" w:right="204"/>
              <w:rPr>
                <w:rFonts w:ascii="Open Sans" w:hAnsi="Open Sans" w:cs="Open Sans"/>
                <w:color w:val="1F497D" w:themeColor="text2"/>
              </w:rPr>
            </w:pPr>
          </w:p>
          <w:p w14:paraId="412B904C" w14:textId="2303264F" w:rsidR="007203C5" w:rsidRPr="007203C5" w:rsidRDefault="007203C5" w:rsidP="003846FF">
            <w:pPr>
              <w:pStyle w:val="TableParagraph"/>
              <w:spacing w:line="22" w:lineRule="atLeast"/>
              <w:ind w:left="108" w:right="204"/>
              <w:rPr>
                <w:rFonts w:ascii="Open Sans" w:hAnsi="Open Sans" w:cs="Open Sans"/>
                <w:b/>
                <w:bCs/>
                <w:color w:val="1F497D" w:themeColor="text2"/>
              </w:rPr>
            </w:pPr>
            <w:r w:rsidRPr="007203C5">
              <w:rPr>
                <w:rFonts w:ascii="Open Sans" w:hAnsi="Open Sans" w:cs="Open Sans"/>
                <w:b/>
                <w:bCs/>
                <w:color w:val="1F497D" w:themeColor="text2"/>
              </w:rPr>
              <w:t>Indicator de realizare:</w:t>
            </w:r>
          </w:p>
          <w:p w14:paraId="125BA2D7" w14:textId="0EA77BCF" w:rsidR="003846FF" w:rsidRPr="007203C5" w:rsidRDefault="003846FF" w:rsidP="003846FF">
            <w:pPr>
              <w:pStyle w:val="TableParagraph"/>
              <w:spacing w:line="22" w:lineRule="atLeast"/>
              <w:ind w:left="108" w:right="204"/>
              <w:rPr>
                <w:rFonts w:ascii="Open Sans" w:hAnsi="Open Sans" w:cs="Open Sans"/>
                <w:color w:val="1F497D" w:themeColor="text2"/>
              </w:rPr>
            </w:pPr>
            <w:r w:rsidRPr="007203C5">
              <w:rPr>
                <w:rFonts w:ascii="Open Sans" w:hAnsi="Open Sans" w:cs="Open Sans"/>
                <w:color w:val="1F497D" w:themeColor="text2"/>
              </w:rPr>
              <w:t xml:space="preserve">Indicatorul de realizare (output) al programului este 5 / b1 </w:t>
            </w:r>
            <w:r w:rsidRPr="007203C5">
              <w:rPr>
                <w:rFonts w:ascii="Open Sans" w:hAnsi="Open Sans" w:cs="Open Sans"/>
                <w:i/>
                <w:color w:val="1F497D" w:themeColor="text2"/>
              </w:rPr>
              <w:t xml:space="preserve">„Populația protejată de servicii îmbunătățite de intervenție în caz de urgență”. </w:t>
            </w:r>
            <w:r w:rsidRPr="007203C5">
              <w:rPr>
                <w:rFonts w:ascii="Open Sans" w:hAnsi="Open Sans" w:cs="Open Sans"/>
                <w:color w:val="1F497D" w:themeColor="text2"/>
              </w:rPr>
              <w:t>Prin</w:t>
            </w:r>
          </w:p>
          <w:p w14:paraId="5A6A01F1" w14:textId="02E10C74" w:rsidR="00314B10" w:rsidRPr="007203C5" w:rsidRDefault="003846FF" w:rsidP="003846FF">
            <w:pPr>
              <w:pStyle w:val="TableParagraph"/>
              <w:spacing w:line="22" w:lineRule="atLeast"/>
              <w:ind w:left="108"/>
              <w:rPr>
                <w:rFonts w:ascii="Open Sans" w:hAnsi="Open Sans" w:cs="Open Sans"/>
                <w:color w:val="1F497D" w:themeColor="text2"/>
              </w:rPr>
            </w:pPr>
            <w:r w:rsidRPr="007203C5">
              <w:rPr>
                <w:rFonts w:ascii="Open Sans" w:hAnsi="Open Sans" w:cs="Open Sans"/>
                <w:color w:val="1F497D" w:themeColor="text2"/>
              </w:rPr>
              <w:t>proiectul ROHU-84, 1.143.330 oameni sunt mai bine protejați prin servicii</w:t>
            </w:r>
            <w:r w:rsidRPr="007203C5">
              <w:rPr>
                <w:rFonts w:ascii="Open Sans" w:hAnsi="Open Sans" w:cs="Open Sans"/>
                <w:color w:val="1F497D" w:themeColor="text2"/>
              </w:rPr>
              <w:t xml:space="preserve"> </w:t>
            </w:r>
            <w:r w:rsidRPr="007203C5">
              <w:rPr>
                <w:rFonts w:ascii="Open Sans" w:hAnsi="Open Sans" w:cs="Open Sans"/>
                <w:color w:val="1F497D" w:themeColor="text2"/>
              </w:rPr>
              <w:t>îmbunătățite privind intervențiile transfrontaliere în situații de urgență.</w:t>
            </w:r>
          </w:p>
          <w:p w14:paraId="14CF3313" w14:textId="77777777" w:rsidR="00744279" w:rsidRPr="007203C5" w:rsidRDefault="00744279" w:rsidP="003846FF">
            <w:pPr>
              <w:pStyle w:val="TableParagraph"/>
              <w:spacing w:line="22" w:lineRule="atLeast"/>
              <w:ind w:left="108" w:right="4127"/>
              <w:rPr>
                <w:rFonts w:ascii="Open Sans" w:hAnsi="Open Sans" w:cs="Open Sans"/>
                <w:color w:val="1F497D" w:themeColor="text2"/>
              </w:rPr>
            </w:pPr>
          </w:p>
          <w:p w14:paraId="3FEBED79" w14:textId="6C6C60EC" w:rsidR="00314B10" w:rsidRPr="007203C5" w:rsidRDefault="00000000" w:rsidP="003846FF">
            <w:pPr>
              <w:pStyle w:val="TableParagraph"/>
              <w:spacing w:line="22" w:lineRule="atLeast"/>
              <w:ind w:left="108" w:right="4127"/>
              <w:rPr>
                <w:rFonts w:ascii="Open Sans" w:hAnsi="Open Sans" w:cs="Open Sans"/>
                <w:color w:val="1F497D" w:themeColor="text2"/>
              </w:rPr>
            </w:pPr>
            <w:r w:rsidRPr="007203C5">
              <w:rPr>
                <w:rFonts w:ascii="Open Sans" w:hAnsi="Open Sans" w:cs="Open Sans"/>
                <w:b/>
                <w:bCs/>
                <w:color w:val="1F497D" w:themeColor="text2"/>
              </w:rPr>
              <w:t xml:space="preserve">Website/webpage: </w:t>
            </w:r>
            <w:hyperlink r:id="rId9">
              <w:r w:rsidRPr="007203C5">
                <w:rPr>
                  <w:rFonts w:ascii="Open Sans" w:hAnsi="Open Sans" w:cs="Open Sans"/>
                  <w:color w:val="1F497D" w:themeColor="text2"/>
                  <w:u w:val="single" w:color="0462C1"/>
                </w:rPr>
                <w:t>https://crossrisks.eu/</w:t>
              </w:r>
            </w:hyperlink>
            <w:r w:rsidRPr="007203C5">
              <w:rPr>
                <w:rFonts w:ascii="Open Sans" w:hAnsi="Open Sans" w:cs="Open Sans"/>
                <w:color w:val="1F497D" w:themeColor="text2"/>
              </w:rPr>
              <w:t xml:space="preserve"> </w:t>
            </w:r>
            <w:hyperlink r:id="rId10">
              <w:r w:rsidRPr="007203C5">
                <w:rPr>
                  <w:rFonts w:ascii="Open Sans" w:hAnsi="Open Sans" w:cs="Open Sans"/>
                  <w:color w:val="1F497D" w:themeColor="text2"/>
                  <w:u w:val="single" w:color="0462C1"/>
                </w:rPr>
                <w:t>http://sartiss.ro/</w:t>
              </w:r>
            </w:hyperlink>
          </w:p>
        </w:tc>
      </w:tr>
    </w:tbl>
    <w:p w14:paraId="4134F8A6" w14:textId="77777777" w:rsidR="00D263EB" w:rsidRDefault="00D263EB"/>
    <w:sectPr w:rsidR="00D263EB">
      <w:pgSz w:w="11910" w:h="16840"/>
      <w:pgMar w:top="2000" w:right="425" w:bottom="660" w:left="708" w:header="483" w:footer="4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45F1F" w14:textId="77777777" w:rsidR="00D263EB" w:rsidRDefault="00D263EB">
      <w:r>
        <w:separator/>
      </w:r>
    </w:p>
  </w:endnote>
  <w:endnote w:type="continuationSeparator" w:id="0">
    <w:p w14:paraId="76ABE114" w14:textId="77777777" w:rsidR="00D263EB" w:rsidRDefault="00D26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T">
    <w:altName w:val="Arial"/>
    <w:charset w:val="01"/>
    <w:family w:val="swiss"/>
    <w:pitch w:val="variable"/>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08CC8" w14:textId="77777777" w:rsidR="00314B10" w:rsidRDefault="00000000">
    <w:pPr>
      <w:pStyle w:val="BodyText"/>
      <w:spacing w:before="0" w:line="14" w:lineRule="auto"/>
    </w:pPr>
    <w:r>
      <w:rPr>
        <w:noProof/>
      </w:rPr>
      <mc:AlternateContent>
        <mc:Choice Requires="wps">
          <w:drawing>
            <wp:anchor distT="0" distB="0" distL="0" distR="0" simplePos="0" relativeHeight="251659264" behindDoc="1" locked="0" layoutInCell="1" allowOverlap="1" wp14:anchorId="292C2B4E" wp14:editId="1E861360">
              <wp:simplePos x="0" y="0"/>
              <wp:positionH relativeFrom="page">
                <wp:posOffset>5325236</wp:posOffset>
              </wp:positionH>
              <wp:positionV relativeFrom="page">
                <wp:posOffset>10256142</wp:posOffset>
              </wp:positionV>
              <wp:extent cx="1333500" cy="1981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0" cy="198120"/>
                      </a:xfrm>
                      <a:prstGeom prst="rect">
                        <a:avLst/>
                      </a:prstGeom>
                    </wps:spPr>
                    <wps:txbx>
                      <w:txbxContent>
                        <w:p w14:paraId="0B4F067A" w14:textId="77777777" w:rsidR="00314B10" w:rsidRDefault="00000000">
                          <w:pPr>
                            <w:pStyle w:val="BodyText"/>
                            <w:spacing w:before="48"/>
                            <w:ind w:left="20"/>
                            <w:rPr>
                              <w:rFonts w:ascii="Microsoft Sans Serif"/>
                            </w:rPr>
                          </w:pPr>
                          <w:hyperlink r:id="rId1">
                            <w:r>
                              <w:rPr>
                                <w:rFonts w:ascii="Microsoft Sans Serif"/>
                                <w:color w:val="003399"/>
                                <w:w w:val="105"/>
                              </w:rPr>
                              <w:t>www.interreg-</w:t>
                            </w:r>
                            <w:r>
                              <w:rPr>
                                <w:rFonts w:ascii="Microsoft Sans Serif"/>
                                <w:color w:val="003399"/>
                                <w:spacing w:val="-2"/>
                                <w:w w:val="105"/>
                              </w:rPr>
                              <w:t>rohu.eu</w:t>
                            </w:r>
                          </w:hyperlink>
                        </w:p>
                      </w:txbxContent>
                    </wps:txbx>
                    <wps:bodyPr wrap="square" lIns="0" tIns="0" rIns="0" bIns="0" rtlCol="0">
                      <a:noAutofit/>
                    </wps:bodyPr>
                  </wps:wsp>
                </a:graphicData>
              </a:graphic>
            </wp:anchor>
          </w:drawing>
        </mc:Choice>
        <mc:Fallback>
          <w:pict>
            <v:shapetype w14:anchorId="292C2B4E" id="_x0000_t202" coordsize="21600,21600" o:spt="202" path="m,l,21600r21600,l21600,xe">
              <v:stroke joinstyle="miter"/>
              <v:path gradientshapeok="t" o:connecttype="rect"/>
            </v:shapetype>
            <v:shape id="Textbox 2" o:spid="_x0000_s1026" type="#_x0000_t202" style="position:absolute;margin-left:419.3pt;margin-top:807.55pt;width:105pt;height:15.6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" filled="f" stroked="f">
              <v:textbox inset="0,0,0,0">
                <w:txbxContent>
                  <w:p w14:paraId="0B4F067A" w14:textId="77777777" w:rsidR="00314B10" w:rsidRDefault="00000000">
                    <w:pPr>
                      <w:pStyle w:val="BodyText"/>
                      <w:spacing w:before="48"/>
                      <w:ind w:left="20"/>
                      <w:rPr>
                        <w:rFonts w:ascii="Microsoft Sans Serif"/>
                      </w:rPr>
                    </w:pPr>
                    <w:hyperlink r:id="rId2">
                      <w:r>
                        <w:rPr>
                          <w:rFonts w:ascii="Microsoft Sans Serif"/>
                          <w:color w:val="003399"/>
                          <w:w w:val="105"/>
                        </w:rPr>
                        <w:t>www.interreg-</w:t>
                      </w:r>
                      <w:r>
                        <w:rPr>
                          <w:rFonts w:ascii="Microsoft Sans Serif"/>
                          <w:color w:val="003399"/>
                          <w:spacing w:val="-2"/>
                          <w:w w:val="105"/>
                        </w:rPr>
                        <w:t>rohu.eu</w:t>
                      </w:r>
                    </w:hyperlink>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18A1FAA8" wp14:editId="1919BC07">
              <wp:simplePos x="0" y="0"/>
              <wp:positionH relativeFrom="page">
                <wp:posOffset>902004</wp:posOffset>
              </wp:positionH>
              <wp:positionV relativeFrom="page">
                <wp:posOffset>10276833</wp:posOffset>
              </wp:positionV>
              <wp:extent cx="2008505" cy="167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8505" cy="167005"/>
                      </a:xfrm>
                      <a:prstGeom prst="rect">
                        <a:avLst/>
                      </a:prstGeom>
                    </wps:spPr>
                    <wps:txbx>
                      <w:txbxContent>
                        <w:p w14:paraId="432511E4" w14:textId="77777777" w:rsidR="00314B10" w:rsidRDefault="00000000">
                          <w:pPr>
                            <w:pStyle w:val="BodyText"/>
                            <w:spacing w:before="12"/>
                            <w:ind w:left="20"/>
                          </w:pPr>
                          <w:r>
                            <w:rPr>
                              <w:color w:val="003399"/>
                            </w:rPr>
                            <w:t>Parteneriat</w:t>
                          </w:r>
                          <w:r>
                            <w:rPr>
                              <w:color w:val="003399"/>
                              <w:spacing w:val="-7"/>
                            </w:rPr>
                            <w:t xml:space="preserve"> </w:t>
                          </w:r>
                          <w:r>
                            <w:rPr>
                              <w:color w:val="003399"/>
                            </w:rPr>
                            <w:t>pentru</w:t>
                          </w:r>
                          <w:r>
                            <w:rPr>
                              <w:color w:val="003399"/>
                              <w:spacing w:val="-5"/>
                            </w:rPr>
                            <w:t xml:space="preserve"> </w:t>
                          </w:r>
                          <w:r>
                            <w:rPr>
                              <w:color w:val="003399"/>
                            </w:rPr>
                            <w:t>un</w:t>
                          </w:r>
                          <w:r>
                            <w:rPr>
                              <w:color w:val="003399"/>
                              <w:spacing w:val="-5"/>
                            </w:rPr>
                            <w:t xml:space="preserve"> </w:t>
                          </w:r>
                          <w:r>
                            <w:rPr>
                              <w:color w:val="003399"/>
                            </w:rPr>
                            <w:t>viitor</w:t>
                          </w:r>
                          <w:r>
                            <w:rPr>
                              <w:color w:val="003399"/>
                              <w:spacing w:val="-2"/>
                            </w:rPr>
                            <w:t xml:space="preserve"> </w:t>
                          </w:r>
                          <w:r>
                            <w:rPr>
                              <w:color w:val="003399"/>
                            </w:rPr>
                            <w:t>mai</w:t>
                          </w:r>
                          <w:r>
                            <w:rPr>
                              <w:color w:val="003399"/>
                              <w:spacing w:val="-8"/>
                            </w:rPr>
                            <w:t xml:space="preserve"> </w:t>
                          </w:r>
                          <w:r>
                            <w:rPr>
                              <w:color w:val="003399"/>
                              <w:spacing w:val="-5"/>
                            </w:rPr>
                            <w:t>bun</w:t>
                          </w:r>
                        </w:p>
                      </w:txbxContent>
                    </wps:txbx>
                    <wps:bodyPr wrap="square" lIns="0" tIns="0" rIns="0" bIns="0" rtlCol="0">
                      <a:noAutofit/>
                    </wps:bodyPr>
                  </wps:wsp>
                </a:graphicData>
              </a:graphic>
            </wp:anchor>
          </w:drawing>
        </mc:Choice>
        <mc:Fallback>
          <w:pict>
            <v:shape w14:anchorId="18A1FAA8" id="Textbox 3" o:spid="_x0000_s1027" type="#_x0000_t202" style="position:absolute;margin-left:71pt;margin-top:809.2pt;width:158.15pt;height:13.1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" filled="f" stroked="f">
              <v:textbox inset="0,0,0,0">
                <w:txbxContent>
                  <w:p w14:paraId="432511E4" w14:textId="77777777" w:rsidR="00314B10" w:rsidRDefault="00000000">
                    <w:pPr>
                      <w:pStyle w:val="BodyText"/>
                      <w:spacing w:before="12"/>
                      <w:ind w:left="20"/>
                    </w:pPr>
                    <w:r>
                      <w:rPr>
                        <w:color w:val="003399"/>
                      </w:rPr>
                      <w:t>Parteneriat</w:t>
                    </w:r>
                    <w:r>
                      <w:rPr>
                        <w:color w:val="003399"/>
                        <w:spacing w:val="-7"/>
                      </w:rPr>
                      <w:t xml:space="preserve"> </w:t>
                    </w:r>
                    <w:r>
                      <w:rPr>
                        <w:color w:val="003399"/>
                      </w:rPr>
                      <w:t>pentru</w:t>
                    </w:r>
                    <w:r>
                      <w:rPr>
                        <w:color w:val="003399"/>
                        <w:spacing w:val="-5"/>
                      </w:rPr>
                      <w:t xml:space="preserve"> </w:t>
                    </w:r>
                    <w:r>
                      <w:rPr>
                        <w:color w:val="003399"/>
                      </w:rPr>
                      <w:t>un</w:t>
                    </w:r>
                    <w:r>
                      <w:rPr>
                        <w:color w:val="003399"/>
                        <w:spacing w:val="-5"/>
                      </w:rPr>
                      <w:t xml:space="preserve"> </w:t>
                    </w:r>
                    <w:r>
                      <w:rPr>
                        <w:color w:val="003399"/>
                      </w:rPr>
                      <w:t>viitor</w:t>
                    </w:r>
                    <w:r>
                      <w:rPr>
                        <w:color w:val="003399"/>
                        <w:spacing w:val="-2"/>
                      </w:rPr>
                      <w:t xml:space="preserve"> </w:t>
                    </w:r>
                    <w:r>
                      <w:rPr>
                        <w:color w:val="003399"/>
                      </w:rPr>
                      <w:t>mai</w:t>
                    </w:r>
                    <w:r>
                      <w:rPr>
                        <w:color w:val="003399"/>
                        <w:spacing w:val="-8"/>
                      </w:rPr>
                      <w:t xml:space="preserve"> </w:t>
                    </w:r>
                    <w:r>
                      <w:rPr>
                        <w:color w:val="003399"/>
                        <w:spacing w:val="-5"/>
                      </w:rPr>
                      <w:t>bun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32C62" w14:textId="77777777" w:rsidR="00D263EB" w:rsidRDefault="00D263EB">
      <w:r>
        <w:separator/>
      </w:r>
    </w:p>
  </w:footnote>
  <w:footnote w:type="continuationSeparator" w:id="0">
    <w:p w14:paraId="30C19FA3" w14:textId="77777777" w:rsidR="00D263EB" w:rsidRDefault="00D26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1A2F5" w14:textId="77777777" w:rsidR="00314B10" w:rsidRDefault="00000000">
    <w:pPr>
      <w:pStyle w:val="BodyText"/>
      <w:spacing w:before="0" w:line="14" w:lineRule="auto"/>
    </w:pPr>
    <w:r>
      <w:rPr>
        <w:noProof/>
      </w:rPr>
      <w:drawing>
        <wp:anchor distT="0" distB="0" distL="0" distR="0" simplePos="0" relativeHeight="251655168" behindDoc="1" locked="0" layoutInCell="1" allowOverlap="1" wp14:anchorId="4EC0232E" wp14:editId="3C1267FD">
          <wp:simplePos x="0" y="0"/>
          <wp:positionH relativeFrom="page">
            <wp:posOffset>941638</wp:posOffset>
          </wp:positionH>
          <wp:positionV relativeFrom="page">
            <wp:posOffset>306534</wp:posOffset>
          </wp:positionV>
          <wp:extent cx="6326113" cy="523864"/>
          <wp:effectExtent l="0" t="0" r="0" b="0"/>
          <wp:wrapNone/>
          <wp:docPr id="42227374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326113" cy="52386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578"/>
    <w:multiLevelType w:val="hybridMultilevel"/>
    <w:tmpl w:val="F77CEB2A"/>
    <w:lvl w:ilvl="0" w:tplc="6F80DFC4">
      <w:numFmt w:val="bullet"/>
      <w:lvlText w:val=""/>
      <w:lvlJc w:val="left"/>
      <w:pPr>
        <w:ind w:left="468" w:hanging="360"/>
      </w:pPr>
      <w:rPr>
        <w:rFonts w:ascii="Symbol" w:eastAsia="Symbol" w:hAnsi="Symbol" w:cs="Symbol" w:hint="default"/>
        <w:b w:val="0"/>
        <w:bCs w:val="0"/>
        <w:i w:val="0"/>
        <w:iCs w:val="0"/>
        <w:color w:val="0E2A75"/>
        <w:spacing w:val="0"/>
        <w:w w:val="100"/>
        <w:sz w:val="22"/>
        <w:szCs w:val="22"/>
        <w:lang w:val="ro-RO" w:eastAsia="en-US" w:bidi="ar-SA"/>
      </w:rPr>
    </w:lvl>
    <w:lvl w:ilvl="1" w:tplc="205A761E">
      <w:numFmt w:val="bullet"/>
      <w:lvlText w:val="•"/>
      <w:lvlJc w:val="left"/>
      <w:pPr>
        <w:ind w:left="1141" w:hanging="360"/>
      </w:pPr>
      <w:rPr>
        <w:rFonts w:hint="default"/>
        <w:lang w:val="ro-RO" w:eastAsia="en-US" w:bidi="ar-SA"/>
      </w:rPr>
    </w:lvl>
    <w:lvl w:ilvl="2" w:tplc="EFE24AD2">
      <w:numFmt w:val="bullet"/>
      <w:lvlText w:val="•"/>
      <w:lvlJc w:val="left"/>
      <w:pPr>
        <w:ind w:left="1823" w:hanging="360"/>
      </w:pPr>
      <w:rPr>
        <w:rFonts w:hint="default"/>
        <w:lang w:val="ro-RO" w:eastAsia="en-US" w:bidi="ar-SA"/>
      </w:rPr>
    </w:lvl>
    <w:lvl w:ilvl="3" w:tplc="C16009F8">
      <w:numFmt w:val="bullet"/>
      <w:lvlText w:val="•"/>
      <w:lvlJc w:val="left"/>
      <w:pPr>
        <w:ind w:left="2505" w:hanging="360"/>
      </w:pPr>
      <w:rPr>
        <w:rFonts w:hint="default"/>
        <w:lang w:val="ro-RO" w:eastAsia="en-US" w:bidi="ar-SA"/>
      </w:rPr>
    </w:lvl>
    <w:lvl w:ilvl="4" w:tplc="F0940FDE">
      <w:numFmt w:val="bullet"/>
      <w:lvlText w:val="•"/>
      <w:lvlJc w:val="left"/>
      <w:pPr>
        <w:ind w:left="3187" w:hanging="360"/>
      </w:pPr>
      <w:rPr>
        <w:rFonts w:hint="default"/>
        <w:lang w:val="ro-RO" w:eastAsia="en-US" w:bidi="ar-SA"/>
      </w:rPr>
    </w:lvl>
    <w:lvl w:ilvl="5" w:tplc="23086FF4">
      <w:numFmt w:val="bullet"/>
      <w:lvlText w:val="•"/>
      <w:lvlJc w:val="left"/>
      <w:pPr>
        <w:ind w:left="3869" w:hanging="360"/>
      </w:pPr>
      <w:rPr>
        <w:rFonts w:hint="default"/>
        <w:lang w:val="ro-RO" w:eastAsia="en-US" w:bidi="ar-SA"/>
      </w:rPr>
    </w:lvl>
    <w:lvl w:ilvl="6" w:tplc="687A8822">
      <w:numFmt w:val="bullet"/>
      <w:lvlText w:val="•"/>
      <w:lvlJc w:val="left"/>
      <w:pPr>
        <w:ind w:left="4550" w:hanging="360"/>
      </w:pPr>
      <w:rPr>
        <w:rFonts w:hint="default"/>
        <w:lang w:val="ro-RO" w:eastAsia="en-US" w:bidi="ar-SA"/>
      </w:rPr>
    </w:lvl>
    <w:lvl w:ilvl="7" w:tplc="F41C92D8">
      <w:numFmt w:val="bullet"/>
      <w:lvlText w:val="•"/>
      <w:lvlJc w:val="left"/>
      <w:pPr>
        <w:ind w:left="5232" w:hanging="360"/>
      </w:pPr>
      <w:rPr>
        <w:rFonts w:hint="default"/>
        <w:lang w:val="ro-RO" w:eastAsia="en-US" w:bidi="ar-SA"/>
      </w:rPr>
    </w:lvl>
    <w:lvl w:ilvl="8" w:tplc="EDA0A492">
      <w:numFmt w:val="bullet"/>
      <w:lvlText w:val="•"/>
      <w:lvlJc w:val="left"/>
      <w:pPr>
        <w:ind w:left="5914" w:hanging="360"/>
      </w:pPr>
      <w:rPr>
        <w:rFonts w:hint="default"/>
        <w:lang w:val="ro-RO" w:eastAsia="en-US" w:bidi="ar-SA"/>
      </w:rPr>
    </w:lvl>
  </w:abstractNum>
  <w:abstractNum w:abstractNumId="1" w15:restartNumberingAfterBreak="0">
    <w:nsid w:val="2DBF3954"/>
    <w:multiLevelType w:val="hybridMultilevel"/>
    <w:tmpl w:val="2702D8E6"/>
    <w:lvl w:ilvl="0" w:tplc="75BAF86E">
      <w:numFmt w:val="bullet"/>
      <w:lvlText w:val=""/>
      <w:lvlJc w:val="left"/>
      <w:pPr>
        <w:ind w:left="828" w:hanging="360"/>
      </w:pPr>
      <w:rPr>
        <w:rFonts w:ascii="Symbol" w:eastAsia="Symbol" w:hAnsi="Symbol" w:cs="Symbol" w:hint="default"/>
        <w:b w:val="0"/>
        <w:bCs w:val="0"/>
        <w:i w:val="0"/>
        <w:iCs w:val="0"/>
        <w:color w:val="0E2A75"/>
        <w:spacing w:val="0"/>
        <w:w w:val="100"/>
        <w:sz w:val="22"/>
        <w:szCs w:val="22"/>
        <w:lang w:val="ro-RO" w:eastAsia="en-US" w:bidi="ar-SA"/>
      </w:rPr>
    </w:lvl>
    <w:lvl w:ilvl="1" w:tplc="4B8EFB9E">
      <w:numFmt w:val="bullet"/>
      <w:lvlText w:val="•"/>
      <w:lvlJc w:val="left"/>
      <w:pPr>
        <w:ind w:left="1537" w:hanging="360"/>
      </w:pPr>
      <w:rPr>
        <w:rFonts w:hint="default"/>
        <w:lang w:val="ro-RO" w:eastAsia="en-US" w:bidi="ar-SA"/>
      </w:rPr>
    </w:lvl>
    <w:lvl w:ilvl="2" w:tplc="A81E24F0">
      <w:numFmt w:val="bullet"/>
      <w:lvlText w:val="•"/>
      <w:lvlJc w:val="left"/>
      <w:pPr>
        <w:ind w:left="2255" w:hanging="360"/>
      </w:pPr>
      <w:rPr>
        <w:rFonts w:hint="default"/>
        <w:lang w:val="ro-RO" w:eastAsia="en-US" w:bidi="ar-SA"/>
      </w:rPr>
    </w:lvl>
    <w:lvl w:ilvl="3" w:tplc="5D365764">
      <w:numFmt w:val="bullet"/>
      <w:lvlText w:val="•"/>
      <w:lvlJc w:val="left"/>
      <w:pPr>
        <w:ind w:left="2973" w:hanging="360"/>
      </w:pPr>
      <w:rPr>
        <w:rFonts w:hint="default"/>
        <w:lang w:val="ro-RO" w:eastAsia="en-US" w:bidi="ar-SA"/>
      </w:rPr>
    </w:lvl>
    <w:lvl w:ilvl="4" w:tplc="F998C52C">
      <w:numFmt w:val="bullet"/>
      <w:lvlText w:val="•"/>
      <w:lvlJc w:val="left"/>
      <w:pPr>
        <w:ind w:left="3691" w:hanging="360"/>
      </w:pPr>
      <w:rPr>
        <w:rFonts w:hint="default"/>
        <w:lang w:val="ro-RO" w:eastAsia="en-US" w:bidi="ar-SA"/>
      </w:rPr>
    </w:lvl>
    <w:lvl w:ilvl="5" w:tplc="D7B61B1C">
      <w:numFmt w:val="bullet"/>
      <w:lvlText w:val="•"/>
      <w:lvlJc w:val="left"/>
      <w:pPr>
        <w:ind w:left="4409" w:hanging="360"/>
      </w:pPr>
      <w:rPr>
        <w:rFonts w:hint="default"/>
        <w:lang w:val="ro-RO" w:eastAsia="en-US" w:bidi="ar-SA"/>
      </w:rPr>
    </w:lvl>
    <w:lvl w:ilvl="6" w:tplc="72F821DA">
      <w:numFmt w:val="bullet"/>
      <w:lvlText w:val="•"/>
      <w:lvlJc w:val="left"/>
      <w:pPr>
        <w:ind w:left="5126" w:hanging="360"/>
      </w:pPr>
      <w:rPr>
        <w:rFonts w:hint="default"/>
        <w:lang w:val="ro-RO" w:eastAsia="en-US" w:bidi="ar-SA"/>
      </w:rPr>
    </w:lvl>
    <w:lvl w:ilvl="7" w:tplc="F622FBC8">
      <w:numFmt w:val="bullet"/>
      <w:lvlText w:val="•"/>
      <w:lvlJc w:val="left"/>
      <w:pPr>
        <w:ind w:left="5844" w:hanging="360"/>
      </w:pPr>
      <w:rPr>
        <w:rFonts w:hint="default"/>
        <w:lang w:val="ro-RO" w:eastAsia="en-US" w:bidi="ar-SA"/>
      </w:rPr>
    </w:lvl>
    <w:lvl w:ilvl="8" w:tplc="D5EEB6C8">
      <w:numFmt w:val="bullet"/>
      <w:lvlText w:val="•"/>
      <w:lvlJc w:val="left"/>
      <w:pPr>
        <w:ind w:left="6562" w:hanging="360"/>
      </w:pPr>
      <w:rPr>
        <w:rFonts w:hint="default"/>
        <w:lang w:val="ro-RO" w:eastAsia="en-US" w:bidi="ar-SA"/>
      </w:rPr>
    </w:lvl>
  </w:abstractNum>
  <w:abstractNum w:abstractNumId="2" w15:restartNumberingAfterBreak="0">
    <w:nsid w:val="6DF0511E"/>
    <w:multiLevelType w:val="hybridMultilevel"/>
    <w:tmpl w:val="51663852"/>
    <w:lvl w:ilvl="0" w:tplc="EEE66FC0">
      <w:numFmt w:val="bullet"/>
      <w:lvlText w:val=""/>
      <w:lvlJc w:val="left"/>
      <w:pPr>
        <w:ind w:left="828" w:hanging="360"/>
      </w:pPr>
      <w:rPr>
        <w:rFonts w:ascii="Symbol" w:eastAsia="Symbol" w:hAnsi="Symbol" w:cs="Symbol" w:hint="default"/>
        <w:b w:val="0"/>
        <w:bCs w:val="0"/>
        <w:i w:val="0"/>
        <w:iCs w:val="0"/>
        <w:color w:val="0E2A75"/>
        <w:spacing w:val="0"/>
        <w:w w:val="100"/>
        <w:sz w:val="22"/>
        <w:szCs w:val="22"/>
        <w:lang w:val="ro-RO" w:eastAsia="en-US" w:bidi="ar-SA"/>
      </w:rPr>
    </w:lvl>
    <w:lvl w:ilvl="1" w:tplc="7C7C11FC">
      <w:numFmt w:val="bullet"/>
      <w:lvlText w:val="•"/>
      <w:lvlJc w:val="left"/>
      <w:pPr>
        <w:ind w:left="1537" w:hanging="360"/>
      </w:pPr>
      <w:rPr>
        <w:rFonts w:hint="default"/>
        <w:lang w:val="ro-RO" w:eastAsia="en-US" w:bidi="ar-SA"/>
      </w:rPr>
    </w:lvl>
    <w:lvl w:ilvl="2" w:tplc="39E0BC80">
      <w:numFmt w:val="bullet"/>
      <w:lvlText w:val="•"/>
      <w:lvlJc w:val="left"/>
      <w:pPr>
        <w:ind w:left="2255" w:hanging="360"/>
      </w:pPr>
      <w:rPr>
        <w:rFonts w:hint="default"/>
        <w:lang w:val="ro-RO" w:eastAsia="en-US" w:bidi="ar-SA"/>
      </w:rPr>
    </w:lvl>
    <w:lvl w:ilvl="3" w:tplc="E9FC1E68">
      <w:numFmt w:val="bullet"/>
      <w:lvlText w:val="•"/>
      <w:lvlJc w:val="left"/>
      <w:pPr>
        <w:ind w:left="2973" w:hanging="360"/>
      </w:pPr>
      <w:rPr>
        <w:rFonts w:hint="default"/>
        <w:lang w:val="ro-RO" w:eastAsia="en-US" w:bidi="ar-SA"/>
      </w:rPr>
    </w:lvl>
    <w:lvl w:ilvl="4" w:tplc="C9241450">
      <w:numFmt w:val="bullet"/>
      <w:lvlText w:val="•"/>
      <w:lvlJc w:val="left"/>
      <w:pPr>
        <w:ind w:left="3691" w:hanging="360"/>
      </w:pPr>
      <w:rPr>
        <w:rFonts w:hint="default"/>
        <w:lang w:val="ro-RO" w:eastAsia="en-US" w:bidi="ar-SA"/>
      </w:rPr>
    </w:lvl>
    <w:lvl w:ilvl="5" w:tplc="8772C5D6">
      <w:numFmt w:val="bullet"/>
      <w:lvlText w:val="•"/>
      <w:lvlJc w:val="left"/>
      <w:pPr>
        <w:ind w:left="4409" w:hanging="360"/>
      </w:pPr>
      <w:rPr>
        <w:rFonts w:hint="default"/>
        <w:lang w:val="ro-RO" w:eastAsia="en-US" w:bidi="ar-SA"/>
      </w:rPr>
    </w:lvl>
    <w:lvl w:ilvl="6" w:tplc="430C777E">
      <w:numFmt w:val="bullet"/>
      <w:lvlText w:val="•"/>
      <w:lvlJc w:val="left"/>
      <w:pPr>
        <w:ind w:left="5126" w:hanging="360"/>
      </w:pPr>
      <w:rPr>
        <w:rFonts w:hint="default"/>
        <w:lang w:val="ro-RO" w:eastAsia="en-US" w:bidi="ar-SA"/>
      </w:rPr>
    </w:lvl>
    <w:lvl w:ilvl="7" w:tplc="8CF065C8">
      <w:numFmt w:val="bullet"/>
      <w:lvlText w:val="•"/>
      <w:lvlJc w:val="left"/>
      <w:pPr>
        <w:ind w:left="5844" w:hanging="360"/>
      </w:pPr>
      <w:rPr>
        <w:rFonts w:hint="default"/>
        <w:lang w:val="ro-RO" w:eastAsia="en-US" w:bidi="ar-SA"/>
      </w:rPr>
    </w:lvl>
    <w:lvl w:ilvl="8" w:tplc="144E63C2">
      <w:numFmt w:val="bullet"/>
      <w:lvlText w:val="•"/>
      <w:lvlJc w:val="left"/>
      <w:pPr>
        <w:ind w:left="6562" w:hanging="360"/>
      </w:pPr>
      <w:rPr>
        <w:rFonts w:hint="default"/>
        <w:lang w:val="ro-RO" w:eastAsia="en-US" w:bidi="ar-SA"/>
      </w:rPr>
    </w:lvl>
  </w:abstractNum>
  <w:num w:numId="1" w16cid:durableId="757405346">
    <w:abstractNumId w:val="0"/>
  </w:num>
  <w:num w:numId="2" w16cid:durableId="421922473">
    <w:abstractNumId w:val="1"/>
  </w:num>
  <w:num w:numId="3" w16cid:durableId="14717464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B10"/>
    <w:rsid w:val="00314B10"/>
    <w:rsid w:val="003846FF"/>
    <w:rsid w:val="00564F07"/>
    <w:rsid w:val="007203C5"/>
    <w:rsid w:val="00744279"/>
    <w:rsid w:val="007A0E91"/>
    <w:rsid w:val="00D263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517E5"/>
  <w15:docId w15:val="{62A0D663-C77B-49EA-9B0E-735BF7B0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
    </w:pPr>
    <w:rPr>
      <w:rFonts w:ascii="Arial MT" w:eastAsia="Arial MT" w:hAnsi="Arial MT" w:cs="Arial MT"/>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artiss.ro/" TargetMode="External"/><Relationship Id="rId4" Type="http://schemas.openxmlformats.org/officeDocument/2006/relationships/webSettings" Target="webSettings.xml"/><Relationship Id="rId9" Type="http://schemas.openxmlformats.org/officeDocument/2006/relationships/hyperlink" Target="https://crossrisks.e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nterreg-rohu.eu/" TargetMode="External"/><Relationship Id="rId1" Type="http://schemas.openxmlformats.org/officeDocument/2006/relationships/hyperlink" Target="http://www.interreg-rohu.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1035</Words>
  <Characters>5903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ROHU</cp:lastModifiedBy>
  <cp:revision>2</cp:revision>
  <dcterms:created xsi:type="dcterms:W3CDTF">2026-02-26T13:26:00Z</dcterms:created>
  <dcterms:modified xsi:type="dcterms:W3CDTF">2026-02-26T13:26:00Z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2022-08-30T00:00:00Z</vt:filetime>
  </property>
  <property fmtid="{D5CDD505-2E9C-101B-9397-08002B2CF9AE}" pid="3" name="Creator">
    <vt:lpwstr>Microsoft® Word 2013</vt:lpwstr>
  </property>
  <property fmtid="{D5CDD505-2E9C-101B-9397-08002B2CF9AE}" pid="4" name="LastSaved">
    <vt:filetime>2026-02-26T00:00:00Z</vt:filetime>
  </property>
  <property fmtid="{D5CDD505-2E9C-101B-9397-08002B2CF9AE}" pid="5" name="Producer">
    <vt:lpwstr>Microsoft® Word 2013</vt:lpwstr>
  </property>
  <property fmtid="{D5CDD505-2E9C-101B-9397-08002B2CF9AE}" pid="6" name="GrammarlyDocumentId">
    <vt:lpwstr>34dce228-f1d1-4a2f-bdbd-9a830a95dc26</vt:lpwstr>
  </property>
</Properties>
</file>